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34" w:rsidRDefault="00F67FC4">
      <w:pPr>
        <w:rPr>
          <w:rFonts w:eastAsia="Verdana" w:cs="Verdana"/>
          <w:szCs w:val="24"/>
          <w:lang w:val="ro-RO"/>
        </w:rPr>
      </w:pPr>
      <w:r w:rsidRPr="00F67FC4">
        <w:rPr>
          <w:lang w:val="ro-RO"/>
        </w:rPr>
        <w:t>1.7 Avantajele financiare ale produselor BEAT</w:t>
      </w:r>
      <w:r w:rsidRPr="00F67FC4">
        <w:rPr>
          <w:rFonts w:eastAsia="Verdana" w:cs="Verdana"/>
          <w:szCs w:val="24"/>
          <w:lang w:val="ro-RO"/>
        </w:rPr>
        <w:t>®</w:t>
      </w:r>
    </w:p>
    <w:p w:rsidR="00F67FC4" w:rsidRDefault="00F67FC4">
      <w:pPr>
        <w:rPr>
          <w:rFonts w:eastAsia="Verdana" w:cs="Verdana"/>
          <w:b/>
          <w:szCs w:val="24"/>
          <w:lang w:val="ro-RO"/>
        </w:rPr>
      </w:pPr>
      <w:r>
        <w:rPr>
          <w:rFonts w:eastAsia="Verdana" w:cs="Verdana"/>
          <w:b/>
          <w:szCs w:val="24"/>
          <w:lang w:val="ro-RO"/>
        </w:rPr>
        <w:t>Tehnologia Crystal Control</w:t>
      </w:r>
      <w:r>
        <w:rPr>
          <w:rFonts w:eastAsia="Verdana" w:cs="Verdana"/>
          <w:szCs w:val="24"/>
          <w:lang w:val="ro-RO"/>
        </w:rPr>
        <w:t xml:space="preserve">® </w:t>
      </w:r>
      <w:r>
        <w:rPr>
          <w:rFonts w:eastAsia="Verdana" w:cs="Verdana"/>
          <w:b/>
          <w:szCs w:val="24"/>
          <w:lang w:val="ro-RO"/>
        </w:rPr>
        <w:t>oferă beneficii financiare considerabile</w:t>
      </w:r>
    </w:p>
    <w:p w:rsidR="00F67FC4" w:rsidRDefault="007B278C">
      <w:pPr>
        <w:rPr>
          <w:rFonts w:eastAsia="Verdana" w:cs="Verdana"/>
          <w:szCs w:val="24"/>
          <w:lang w:val="ro-RO"/>
        </w:rPr>
      </w:pPr>
      <w:r>
        <w:rPr>
          <w:lang w:val="ro-RO"/>
        </w:rPr>
        <w:t>Dublarea duratei de viață a bateriei ce e tratată cu tehnologia CCT</w:t>
      </w:r>
      <w:r w:rsidRPr="00F67FC4">
        <w:rPr>
          <w:rFonts w:eastAsia="Verdana" w:cs="Verdana"/>
          <w:szCs w:val="24"/>
          <w:lang w:val="ro-RO"/>
        </w:rPr>
        <w:t>®</w:t>
      </w:r>
      <w:r>
        <w:rPr>
          <w:rFonts w:eastAsia="Verdana" w:cs="Verdana"/>
          <w:szCs w:val="24"/>
          <w:lang w:val="ro-RO"/>
        </w:rPr>
        <w:t xml:space="preserve"> prezintă avantaje financiare evidente. Costul achiziționării bateriilor de schimb va fi scăzut (în medie cu 50%) din momentul începerii tratamentului cu CCT</w:t>
      </w:r>
      <w:r w:rsidRPr="00F67FC4">
        <w:rPr>
          <w:rFonts w:eastAsia="Verdana" w:cs="Verdana"/>
          <w:szCs w:val="24"/>
          <w:lang w:val="ro-RO"/>
        </w:rPr>
        <w:t>®</w:t>
      </w:r>
      <w:r>
        <w:rPr>
          <w:rFonts w:eastAsia="Verdana" w:cs="Verdana"/>
          <w:szCs w:val="24"/>
          <w:lang w:val="ro-RO"/>
        </w:rPr>
        <w:t>, indiferent dacă bateriile sunt nou sau au fost folosite o perioadă de timp înaintea începerii tratamentului CCT</w:t>
      </w:r>
      <w:r w:rsidRPr="00F67FC4">
        <w:rPr>
          <w:rFonts w:eastAsia="Verdana" w:cs="Verdana"/>
          <w:szCs w:val="24"/>
          <w:lang w:val="ro-RO"/>
        </w:rPr>
        <w:t>®</w:t>
      </w:r>
      <w:r>
        <w:rPr>
          <w:rFonts w:eastAsia="Verdana" w:cs="Verdana"/>
          <w:szCs w:val="24"/>
          <w:lang w:val="ro-RO"/>
        </w:rPr>
        <w:t>.</w:t>
      </w:r>
    </w:p>
    <w:tbl>
      <w:tblPr>
        <w:tblStyle w:val="TableGrid"/>
        <w:tblW w:w="0" w:type="auto"/>
        <w:shd w:val="clear" w:color="auto" w:fill="D9D9D9" w:themeFill="background1" w:themeFillShade="D9"/>
        <w:tblLook w:val="04A0" w:firstRow="1" w:lastRow="0" w:firstColumn="1" w:lastColumn="0" w:noHBand="0" w:noVBand="1"/>
      </w:tblPr>
      <w:tblGrid>
        <w:gridCol w:w="9576"/>
      </w:tblGrid>
      <w:tr w:rsidR="007B278C" w:rsidTr="004B5538">
        <w:tc>
          <w:tcPr>
            <w:tcW w:w="9576" w:type="dxa"/>
            <w:shd w:val="clear" w:color="auto" w:fill="D9D9D9" w:themeFill="background1" w:themeFillShade="D9"/>
          </w:tcPr>
          <w:p w:rsidR="007B278C" w:rsidRDefault="007B278C">
            <w:pPr>
              <w:rPr>
                <w:rFonts w:eastAsia="Verdana" w:cs="Verdana"/>
                <w:szCs w:val="24"/>
                <w:lang w:val="ro-RO"/>
              </w:rPr>
            </w:pPr>
            <w:r>
              <w:rPr>
                <w:lang w:val="ro-RO"/>
              </w:rPr>
              <w:t>Efectele tratamentului CCT</w:t>
            </w:r>
            <w:r w:rsidRPr="00F67FC4">
              <w:rPr>
                <w:rFonts w:eastAsia="Verdana" w:cs="Verdana"/>
                <w:szCs w:val="24"/>
                <w:lang w:val="ro-RO"/>
              </w:rPr>
              <w:t>®</w:t>
            </w:r>
            <w:r>
              <w:rPr>
                <w:rFonts w:eastAsia="Verdana" w:cs="Verdana"/>
                <w:szCs w:val="24"/>
                <w:lang w:val="ro-RO"/>
              </w:rPr>
              <w:t>:</w:t>
            </w:r>
          </w:p>
          <w:p w:rsidR="007B278C" w:rsidRDefault="007B278C" w:rsidP="007B278C">
            <w:pPr>
              <w:pStyle w:val="ListParagraph"/>
              <w:numPr>
                <w:ilvl w:val="0"/>
                <w:numId w:val="1"/>
              </w:numPr>
              <w:rPr>
                <w:lang w:val="ro-RO"/>
              </w:rPr>
            </w:pPr>
            <w:r>
              <w:rPr>
                <w:lang w:val="ro-RO"/>
              </w:rPr>
              <w:t>Dublarea duratei de viață a bateriilor cu plumb-acid înseamnă o reducere a costurilor de înlocuire a bateriilor de până la 50%.</w:t>
            </w:r>
            <w:r>
              <w:rPr>
                <w:lang w:val="ro-RO"/>
              </w:rPr>
              <w:br/>
              <w:t>(BCL se îmbunătățește cu aproape 140%; BCL – sau ciclul de viață al bateriei reprezintă numărul de încărcări și descărcări maxime a unei baterii (ciclii de încărcare) înainte de a-i scădea capacitatea la 50% din valoarea ei inițială.</w:t>
            </w:r>
          </w:p>
          <w:p w:rsidR="007B278C" w:rsidRDefault="007B278C" w:rsidP="007B278C">
            <w:pPr>
              <w:pStyle w:val="ListParagraph"/>
              <w:numPr>
                <w:ilvl w:val="0"/>
                <w:numId w:val="1"/>
              </w:numPr>
              <w:rPr>
                <w:lang w:val="ro-RO"/>
              </w:rPr>
            </w:pPr>
            <w:r>
              <w:rPr>
                <w:lang w:val="ro-RO"/>
              </w:rPr>
              <w:t>Costul montării și demontării bateriilor scade cu 50%</w:t>
            </w:r>
          </w:p>
          <w:p w:rsidR="007B278C" w:rsidRDefault="007B278C" w:rsidP="007B278C">
            <w:pPr>
              <w:pStyle w:val="ListParagraph"/>
              <w:numPr>
                <w:ilvl w:val="0"/>
                <w:numId w:val="1"/>
              </w:numPr>
              <w:rPr>
                <w:lang w:val="ro-RO"/>
              </w:rPr>
            </w:pPr>
            <w:r>
              <w:rPr>
                <w:lang w:val="ro-RO"/>
              </w:rPr>
              <w:t>Triplarea capacității efective a bateriei (îmbunătățirea LET cu până la 340%), creșterea eficienței utilizării autovehiculului și reducerea perioadei de repaus pentru vehiculele propulsate de baterii!</w:t>
            </w:r>
            <w:r>
              <w:rPr>
                <w:lang w:val="ro-RO"/>
              </w:rPr>
              <w:br/>
              <w:t>(LET sau rata de transfer a energiei se triplează. LET reprezintă cantitatea de energie electrică măsurată în Wați/Oră, pe care o baterie, pe parcursul duratei ei de viață, poate să o absoarbă și să o elibereze.</w:t>
            </w:r>
          </w:p>
          <w:p w:rsidR="007B278C" w:rsidRDefault="007B278C" w:rsidP="007B278C">
            <w:pPr>
              <w:pStyle w:val="ListParagraph"/>
              <w:numPr>
                <w:ilvl w:val="0"/>
                <w:numId w:val="1"/>
              </w:numPr>
              <w:rPr>
                <w:lang w:val="ro-RO"/>
              </w:rPr>
            </w:pPr>
            <w:r>
              <w:rPr>
                <w:lang w:val="ro-RO"/>
              </w:rPr>
              <w:t>Reducerea consumului de electricitate necesar încărcării bateriei se reduce cu aproximativ 20%</w:t>
            </w:r>
          </w:p>
          <w:p w:rsidR="007B278C" w:rsidRDefault="007B278C" w:rsidP="007B278C">
            <w:pPr>
              <w:pStyle w:val="ListParagraph"/>
              <w:numPr>
                <w:ilvl w:val="0"/>
                <w:numId w:val="1"/>
              </w:numPr>
              <w:rPr>
                <w:lang w:val="ro-RO"/>
              </w:rPr>
            </w:pPr>
            <w:r>
              <w:rPr>
                <w:lang w:val="ro-RO"/>
              </w:rPr>
              <w:t>Bateriile vor avea un ciclu gradat optim de încărcare, ce va face ca bateria să se încarce mai repede la voltajul pentru care a fost creată.</w:t>
            </w:r>
          </w:p>
          <w:p w:rsidR="007B278C" w:rsidRDefault="007B278C" w:rsidP="007B278C">
            <w:pPr>
              <w:pStyle w:val="ListParagraph"/>
              <w:numPr>
                <w:ilvl w:val="0"/>
                <w:numId w:val="1"/>
              </w:numPr>
              <w:rPr>
                <w:lang w:val="ro-RO"/>
              </w:rPr>
            </w:pPr>
            <w:r>
              <w:rPr>
                <w:lang w:val="ro-RO"/>
              </w:rPr>
              <w:t>Timpii de încărcare scad, bateriile se încarcă mai eficient (ating voltaje superioare) și necesită încărcări mai rare (scade energia pierdută în timpul conversiei)</w:t>
            </w:r>
          </w:p>
          <w:p w:rsidR="007B278C" w:rsidRDefault="004B5538" w:rsidP="007B278C">
            <w:pPr>
              <w:pStyle w:val="ListParagraph"/>
              <w:numPr>
                <w:ilvl w:val="0"/>
                <w:numId w:val="1"/>
              </w:numPr>
              <w:rPr>
                <w:lang w:val="ro-RO"/>
              </w:rPr>
            </w:pPr>
            <w:r>
              <w:rPr>
                <w:lang w:val="ro-RO"/>
              </w:rPr>
              <w:t>Bateriile nu mai au nevoie de multă întreținere (mai puțină formare de gaze și nevoia de a completa cu apă electrolitul)</w:t>
            </w:r>
          </w:p>
          <w:p w:rsidR="004B5538" w:rsidRDefault="004B5538" w:rsidP="007B278C">
            <w:pPr>
              <w:pStyle w:val="ListParagraph"/>
              <w:numPr>
                <w:ilvl w:val="0"/>
                <w:numId w:val="1"/>
              </w:numPr>
              <w:rPr>
                <w:lang w:val="ro-RO"/>
              </w:rPr>
            </w:pPr>
            <w:r>
              <w:rPr>
                <w:lang w:val="ro-RO"/>
              </w:rPr>
              <w:t xml:space="preserve">Îmbunătățirea performanțelor bateriei merg mână în mână cu îmbunătățirea structurii fizice a bateriei. Acestea devin mai stabile și robuste, ceea ce va avea un efect pozitiv asupra durabilității bateriei. </w:t>
            </w:r>
            <w:r>
              <w:rPr>
                <w:lang w:val="ro-RO"/>
              </w:rPr>
              <w:br/>
              <w:t xml:space="preserve">Riscul stricării bateriei din cauza sulfatării scade. </w:t>
            </w:r>
          </w:p>
          <w:p w:rsidR="004B5538" w:rsidRPr="007B278C" w:rsidRDefault="004B5538" w:rsidP="007B278C">
            <w:pPr>
              <w:pStyle w:val="ListParagraph"/>
              <w:numPr>
                <w:ilvl w:val="0"/>
                <w:numId w:val="1"/>
              </w:numPr>
              <w:rPr>
                <w:lang w:val="ro-RO"/>
              </w:rPr>
            </w:pPr>
            <w:r>
              <w:rPr>
                <w:lang w:val="ro-RO"/>
              </w:rPr>
              <w:t>Reducerea timpului de repaus pentru vehiculele propulsate de baterii. Echipamentul electronic sensibil atașat la baterie se va degrada mai greu. (CCT</w:t>
            </w:r>
            <w:r w:rsidRPr="00F67FC4">
              <w:rPr>
                <w:rFonts w:eastAsia="Verdana" w:cs="Verdana"/>
                <w:szCs w:val="24"/>
                <w:lang w:val="ro-RO"/>
              </w:rPr>
              <w:t>®</w:t>
            </w:r>
            <w:r>
              <w:rPr>
                <w:rFonts w:eastAsia="Verdana" w:cs="Verdana"/>
                <w:szCs w:val="24"/>
                <w:lang w:val="ro-RO"/>
              </w:rPr>
              <w:t xml:space="preserve"> păstrează voltajul bateriei la valori mai ridicate și stabile).</w:t>
            </w:r>
          </w:p>
        </w:tc>
      </w:tr>
    </w:tbl>
    <w:p w:rsidR="007B278C" w:rsidRDefault="007B278C">
      <w:pPr>
        <w:rPr>
          <w:lang w:val="ro-RO"/>
        </w:rPr>
      </w:pPr>
    </w:p>
    <w:p w:rsidR="004B5538" w:rsidRDefault="004B5538">
      <w:pPr>
        <w:rPr>
          <w:rFonts w:eastAsia="Verdana" w:cs="Verdana"/>
          <w:szCs w:val="24"/>
          <w:lang w:val="ro-RO"/>
        </w:rPr>
      </w:pPr>
      <w:r>
        <w:rPr>
          <w:b/>
          <w:lang w:val="ro-RO"/>
        </w:rPr>
        <w:t>Eficiența dispozitivelor BEAT</w:t>
      </w:r>
      <w:r w:rsidRPr="00F67FC4">
        <w:rPr>
          <w:rFonts w:eastAsia="Verdana" w:cs="Verdana"/>
          <w:szCs w:val="24"/>
          <w:lang w:val="ro-RO"/>
        </w:rPr>
        <w:t>®</w:t>
      </w:r>
    </w:p>
    <w:p w:rsidR="004B5538" w:rsidRDefault="004B5538">
      <w:pPr>
        <w:rPr>
          <w:rFonts w:eastAsia="Verdana" w:cs="Verdana"/>
          <w:szCs w:val="24"/>
          <w:lang w:val="ro-RO"/>
        </w:rPr>
      </w:pPr>
      <w:r>
        <w:rPr>
          <w:rFonts w:eastAsia="Verdana" w:cs="Verdana"/>
          <w:szCs w:val="24"/>
          <w:lang w:val="ro-RO"/>
        </w:rPr>
        <w:t>Tehnologia inovatoare CCT</w:t>
      </w:r>
      <w:r w:rsidRPr="00F67FC4">
        <w:rPr>
          <w:rFonts w:eastAsia="Verdana" w:cs="Verdana"/>
          <w:szCs w:val="24"/>
          <w:lang w:val="ro-RO"/>
        </w:rPr>
        <w:t>®</w:t>
      </w:r>
      <w:r>
        <w:rPr>
          <w:rFonts w:eastAsia="Verdana" w:cs="Verdana"/>
          <w:szCs w:val="24"/>
          <w:lang w:val="ro-RO"/>
        </w:rPr>
        <w:t xml:space="preserve"> mărește durata de viață a bateriei cu mai bine de 100% (până la 140%). Când observăm prelungirea duratei medii de viață a bateriei, trebuie să fim atenți la două situații:</w:t>
      </w:r>
    </w:p>
    <w:p w:rsidR="004B5538" w:rsidRPr="004B5538" w:rsidRDefault="004B5538" w:rsidP="004B5538">
      <w:pPr>
        <w:pStyle w:val="ListParagraph"/>
        <w:numPr>
          <w:ilvl w:val="0"/>
          <w:numId w:val="2"/>
        </w:numPr>
        <w:rPr>
          <w:lang w:val="ro-RO"/>
        </w:rPr>
      </w:pPr>
      <w:r>
        <w:rPr>
          <w:lang w:val="ro-RO"/>
        </w:rPr>
        <w:t>BEAT</w:t>
      </w:r>
      <w:r w:rsidRPr="00F67FC4">
        <w:rPr>
          <w:rFonts w:eastAsia="Verdana" w:cs="Verdana"/>
          <w:szCs w:val="24"/>
          <w:lang w:val="ro-RO"/>
        </w:rPr>
        <w:t>®</w:t>
      </w:r>
      <w:r>
        <w:rPr>
          <w:rFonts w:eastAsia="Verdana" w:cs="Verdana"/>
          <w:szCs w:val="24"/>
          <w:lang w:val="ro-RO"/>
        </w:rPr>
        <w:t xml:space="preserve"> 50 este montat pe un set nou de baterii</w:t>
      </w:r>
    </w:p>
    <w:p w:rsidR="004B5538" w:rsidRPr="004B5538" w:rsidRDefault="004B5538" w:rsidP="004B5538">
      <w:pPr>
        <w:pStyle w:val="ListParagraph"/>
        <w:numPr>
          <w:ilvl w:val="0"/>
          <w:numId w:val="2"/>
        </w:numPr>
        <w:rPr>
          <w:lang w:val="ro-RO"/>
        </w:rPr>
      </w:pPr>
      <w:r>
        <w:rPr>
          <w:lang w:val="ro-RO"/>
        </w:rPr>
        <w:t>BEAT</w:t>
      </w:r>
      <w:r w:rsidRPr="00F67FC4">
        <w:rPr>
          <w:rFonts w:eastAsia="Verdana" w:cs="Verdana"/>
          <w:szCs w:val="24"/>
          <w:lang w:val="ro-RO"/>
        </w:rPr>
        <w:t>®</w:t>
      </w:r>
      <w:r>
        <w:rPr>
          <w:rFonts w:eastAsia="Verdana" w:cs="Verdana"/>
          <w:szCs w:val="24"/>
          <w:lang w:val="ro-RO"/>
        </w:rPr>
        <w:t xml:space="preserve"> 50 este montat pe un set de baterii ce au fost folosite înainte.</w:t>
      </w:r>
      <w:r>
        <w:rPr>
          <w:rFonts w:eastAsia="Verdana" w:cs="Verdana"/>
          <w:szCs w:val="24"/>
          <w:lang w:val="ro-RO"/>
        </w:rPr>
        <w:br/>
        <w:t>(în aceste calcule ne folosim de BEAT</w:t>
      </w:r>
      <w:r w:rsidRPr="00F67FC4">
        <w:rPr>
          <w:rFonts w:eastAsia="Verdana" w:cs="Verdana"/>
          <w:szCs w:val="24"/>
          <w:lang w:val="ro-RO"/>
        </w:rPr>
        <w:t>®</w:t>
      </w:r>
      <w:r>
        <w:rPr>
          <w:rFonts w:eastAsia="Verdana" w:cs="Verdana"/>
          <w:szCs w:val="24"/>
          <w:lang w:val="ro-RO"/>
        </w:rPr>
        <w:t>50, dar informațiile se aplică și la BEAT</w:t>
      </w:r>
      <w:r w:rsidRPr="00F67FC4">
        <w:rPr>
          <w:rFonts w:eastAsia="Verdana" w:cs="Verdana"/>
          <w:szCs w:val="24"/>
          <w:lang w:val="ro-RO"/>
        </w:rPr>
        <w:t>®</w:t>
      </w:r>
      <w:r>
        <w:rPr>
          <w:rFonts w:eastAsia="Verdana" w:cs="Verdana"/>
          <w:szCs w:val="24"/>
          <w:lang w:val="ro-RO"/>
        </w:rPr>
        <w:t xml:space="preserve"> 100)</w:t>
      </w:r>
    </w:p>
    <w:p w:rsidR="004B5538" w:rsidRDefault="004B5538" w:rsidP="004B5538">
      <w:pPr>
        <w:pStyle w:val="ListParagraph"/>
        <w:rPr>
          <w:i/>
          <w:lang w:val="ro-RO"/>
        </w:rPr>
      </w:pPr>
    </w:p>
    <w:p w:rsidR="004B5538" w:rsidRPr="004B5538" w:rsidRDefault="004B5538" w:rsidP="004B5538">
      <w:pPr>
        <w:pStyle w:val="ListParagraph"/>
        <w:numPr>
          <w:ilvl w:val="0"/>
          <w:numId w:val="3"/>
        </w:numPr>
        <w:rPr>
          <w:i/>
          <w:lang w:val="ro-RO"/>
        </w:rPr>
      </w:pPr>
      <w:r>
        <w:rPr>
          <w:i/>
          <w:lang w:val="ro-RO"/>
        </w:rPr>
        <w:lastRenderedPageBreak/>
        <w:t>Tratamentul bateriilor noi</w:t>
      </w:r>
      <w:r>
        <w:rPr>
          <w:i/>
          <w:lang w:val="ro-RO"/>
        </w:rPr>
        <w:br/>
      </w:r>
      <w:r>
        <w:rPr>
          <w:lang w:val="ro-RO"/>
        </w:rPr>
        <w:t>De exemplu, o baterie nouă cu o durată medie de viață de 24 de luni își dublează durata de viață la 48 de luni (sau chiar mai mult) când este tratată cu CCT</w:t>
      </w:r>
      <w:r w:rsidRPr="00F67FC4">
        <w:rPr>
          <w:rFonts w:eastAsia="Verdana" w:cs="Verdana"/>
          <w:szCs w:val="24"/>
          <w:lang w:val="ro-RO"/>
        </w:rPr>
        <w:t>®</w:t>
      </w:r>
      <w:r>
        <w:rPr>
          <w:rFonts w:eastAsia="Verdana" w:cs="Verdana"/>
          <w:szCs w:val="24"/>
          <w:lang w:val="ro-RO"/>
        </w:rPr>
        <w:t>.</w:t>
      </w:r>
    </w:p>
    <w:p w:rsidR="004B5538" w:rsidRPr="008E0D0A" w:rsidRDefault="008E0D0A" w:rsidP="004B5538">
      <w:pPr>
        <w:pStyle w:val="ListParagraph"/>
        <w:numPr>
          <w:ilvl w:val="0"/>
          <w:numId w:val="3"/>
        </w:numPr>
        <w:rPr>
          <w:i/>
          <w:lang w:val="ro-RO"/>
        </w:rPr>
      </w:pPr>
      <w:r>
        <w:rPr>
          <w:i/>
          <w:lang w:val="ro-RO"/>
        </w:rPr>
        <w:t>Tratamentul bateriilor cu o anumită vârstă</w:t>
      </w:r>
      <w:r>
        <w:rPr>
          <w:i/>
          <w:lang w:val="ro-RO"/>
        </w:rPr>
        <w:br/>
      </w:r>
      <w:r>
        <w:rPr>
          <w:lang w:val="ro-RO"/>
        </w:rPr>
        <w:t>O baterie folosită pentru o perioadă de timp înainte de a i se aplica tratamentul CCT</w:t>
      </w:r>
      <w:r w:rsidRPr="00F67FC4">
        <w:rPr>
          <w:rFonts w:eastAsia="Verdana" w:cs="Verdana"/>
          <w:szCs w:val="24"/>
          <w:lang w:val="ro-RO"/>
        </w:rPr>
        <w:t>®</w:t>
      </w:r>
      <w:r>
        <w:rPr>
          <w:rFonts w:eastAsia="Verdana" w:cs="Verdana"/>
          <w:szCs w:val="24"/>
          <w:lang w:val="ro-RO"/>
        </w:rPr>
        <w:t xml:space="preserve"> cu ajutorul BEAT</w:t>
      </w:r>
      <w:r w:rsidRPr="00F67FC4">
        <w:rPr>
          <w:rFonts w:eastAsia="Verdana" w:cs="Verdana"/>
          <w:szCs w:val="24"/>
          <w:lang w:val="ro-RO"/>
        </w:rPr>
        <w:t>®</w:t>
      </w:r>
      <w:r>
        <w:rPr>
          <w:rFonts w:eastAsia="Verdana" w:cs="Verdana"/>
          <w:szCs w:val="24"/>
          <w:lang w:val="ro-RO"/>
        </w:rPr>
        <w:t xml:space="preserve"> 50 va avea durata de viață mărită în funcție de perioada în care a fost folosită </w:t>
      </w:r>
      <w:r>
        <w:rPr>
          <w:rFonts w:eastAsia="Verdana" w:cs="Verdana"/>
          <w:i/>
          <w:szCs w:val="24"/>
          <w:lang w:val="ro-RO"/>
        </w:rPr>
        <w:t>înaintea</w:t>
      </w:r>
      <w:r>
        <w:rPr>
          <w:rFonts w:eastAsia="Verdana" w:cs="Verdana"/>
          <w:szCs w:val="24"/>
          <w:lang w:val="ro-RO"/>
        </w:rPr>
        <w:t xml:space="preserve"> aplicării tratamentului.</w:t>
      </w:r>
    </w:p>
    <w:p w:rsidR="008E0D0A" w:rsidRDefault="008E0D0A" w:rsidP="008E0D0A">
      <w:pPr>
        <w:rPr>
          <w:lang w:val="ro-RO"/>
        </w:rPr>
      </w:pPr>
      <w:r>
        <w:rPr>
          <w:lang w:val="ro-RO"/>
        </w:rPr>
        <w:t xml:space="preserve">Tabelul de mai jos reprezintă </w:t>
      </w:r>
      <w:r>
        <w:rPr>
          <w:i/>
          <w:lang w:val="ro-RO"/>
        </w:rPr>
        <w:t>Modelul de extensie a duratei de viață WaveTech</w:t>
      </w:r>
      <w:r>
        <w:rPr>
          <w:lang w:val="ro-RO"/>
        </w:rPr>
        <w:t xml:space="preserve"> pentru o baterie standard pentru semi-tracțiune, asemenea celor folosite în scutere, scaune rulante etc. Acest tip de baterii are o durată medie de viață de 24 de luni.</w:t>
      </w:r>
    </w:p>
    <w:p w:rsidR="008E0D0A" w:rsidRDefault="008E0D0A" w:rsidP="008E0D0A">
      <w:pPr>
        <w:rPr>
          <w:lang w:val="ro-RO"/>
        </w:rPr>
      </w:pPr>
      <w:r>
        <w:rPr>
          <w:lang w:val="ro-RO"/>
        </w:rPr>
        <w:t xml:space="preserve">Tabelul poate fi explicat după cum urmează: </w:t>
      </w:r>
    </w:p>
    <w:p w:rsidR="008E0D0A" w:rsidRDefault="008E0D0A" w:rsidP="008E0D0A">
      <w:pPr>
        <w:rPr>
          <w:rFonts w:eastAsia="Verdana" w:cs="Verdana"/>
          <w:szCs w:val="24"/>
          <w:lang w:val="ro-RO"/>
        </w:rPr>
      </w:pPr>
      <w:r>
        <w:rPr>
          <w:lang w:val="ro-RO"/>
        </w:rPr>
        <w:t>Să presupunem că o serie de 24 de baterii vor fi folosite, iar fiecare baterie are o durată de viață de 24 de luni. Această serie de baterii va fi echipată cu unul din produsele noastre BEAT</w:t>
      </w:r>
      <w:r w:rsidRPr="00F67FC4">
        <w:rPr>
          <w:rFonts w:eastAsia="Verdana" w:cs="Verdana"/>
          <w:szCs w:val="24"/>
          <w:lang w:val="ro-RO"/>
        </w:rPr>
        <w:t>®</w:t>
      </w:r>
      <w:r>
        <w:rPr>
          <w:rFonts w:eastAsia="Verdana" w:cs="Verdana"/>
          <w:szCs w:val="24"/>
          <w:lang w:val="ro-RO"/>
        </w:rPr>
        <w:t>.</w:t>
      </w:r>
    </w:p>
    <w:p w:rsidR="008E0D0A" w:rsidRDefault="008E0D0A" w:rsidP="008E0D0A">
      <w:pPr>
        <w:rPr>
          <w:rFonts w:eastAsia="Verdana" w:cs="Verdana"/>
          <w:szCs w:val="24"/>
          <w:lang w:val="ro-RO"/>
        </w:rPr>
      </w:pPr>
      <w:r>
        <w:rPr>
          <w:rFonts w:eastAsia="Verdana" w:cs="Verdana"/>
          <w:szCs w:val="24"/>
          <w:lang w:val="ro-RO"/>
        </w:rPr>
        <w:t>Fiecare bară gri din tabel reprezintă o baterie. Fiecare baterie diferă cu o lună în durata de viață față de bateria învecinată (aceasta poate fi mai nouă sau mai veche cu o lună). Lungimea barei gri deasupra liniei orizontale reprezintă timpul folosirii bateriei (în luni), în timp ce lungimea barei gri de sub linia orizontală reprezintă durata de viață a bateriei (în luni). Partea dreptunghiulară gri de-a lungul tabelului este doar o reprezentare grafică.</w:t>
      </w:r>
    </w:p>
    <w:p w:rsidR="008E0D0A" w:rsidRDefault="008E0D0A" w:rsidP="008E0D0A">
      <w:pPr>
        <w:rPr>
          <w:rFonts w:eastAsia="Verdana" w:cs="Verdana"/>
          <w:szCs w:val="24"/>
          <w:lang w:val="ro-RO"/>
        </w:rPr>
      </w:pPr>
      <w:r>
        <w:rPr>
          <w:rFonts w:eastAsia="Verdana" w:cs="Verdana"/>
          <w:szCs w:val="24"/>
          <w:lang w:val="ro-RO"/>
        </w:rPr>
        <w:t>Fără tratamentul Crystal Control</w:t>
      </w:r>
      <w:r w:rsidRPr="00F67FC4">
        <w:rPr>
          <w:rFonts w:eastAsia="Verdana" w:cs="Verdana"/>
          <w:szCs w:val="24"/>
          <w:lang w:val="ro-RO"/>
        </w:rPr>
        <w:t>®</w:t>
      </w:r>
      <w:r>
        <w:rPr>
          <w:rFonts w:eastAsia="Verdana" w:cs="Verdana"/>
          <w:szCs w:val="24"/>
          <w:lang w:val="ro-RO"/>
        </w:rPr>
        <w:t xml:space="preserve"> fiecare baterie trebuie înlocuită cu una nouă la finalul duratei ei standard de viață.</w:t>
      </w:r>
    </w:p>
    <w:p w:rsidR="008E0D0A" w:rsidRDefault="008E0D0A" w:rsidP="008E0D0A">
      <w:pPr>
        <w:rPr>
          <w:lang w:val="ro-RO"/>
        </w:rPr>
      </w:pPr>
      <w:r>
        <w:rPr>
          <w:noProof/>
        </w:rPr>
        <w:lastRenderedPageBreak/>
        <w:drawing>
          <wp:inline distT="0" distB="0" distL="0" distR="0" wp14:anchorId="01008B9D" wp14:editId="0CF8A5A9">
            <wp:extent cx="5943600" cy="5221649"/>
            <wp:effectExtent l="0" t="0" r="0" b="0"/>
            <wp:docPr id="1" name="Picture 1" descr="C:\Users\Rien\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en\AppData\Local\Temp\msohtmlclip1\01\clip_image001.png"/>
                    <pic:cNvPicPr>
                      <a:picLocks noChangeAspect="1" noChangeArrowheads="1"/>
                    </pic:cNvPicPr>
                  </pic:nvPicPr>
                  <pic:blipFill>
                    <a:blip r:embed="rId6" cstate="print"/>
                    <a:srcRect/>
                    <a:stretch>
                      <a:fillRect/>
                    </a:stretch>
                  </pic:blipFill>
                  <pic:spPr bwMode="auto">
                    <a:xfrm>
                      <a:off x="0" y="0"/>
                      <a:ext cx="5943600" cy="5221649"/>
                    </a:xfrm>
                    <a:prstGeom prst="rect">
                      <a:avLst/>
                    </a:prstGeom>
                    <a:noFill/>
                    <a:ln w="9525">
                      <a:noFill/>
                      <a:miter lim="800000"/>
                      <a:headEnd/>
                      <a:tailEnd/>
                    </a:ln>
                  </pic:spPr>
                </pic:pic>
              </a:graphicData>
            </a:graphic>
          </wp:inline>
        </w:drawing>
      </w:r>
    </w:p>
    <w:p w:rsidR="008E0D0A" w:rsidRDefault="008E0D0A" w:rsidP="008E0D0A">
      <w:pPr>
        <w:rPr>
          <w:lang w:val="ro-RO"/>
        </w:rPr>
      </w:pPr>
    </w:p>
    <w:p w:rsidR="008E0D0A" w:rsidRDefault="008E0D0A" w:rsidP="008E0D0A">
      <w:pPr>
        <w:rPr>
          <w:lang w:val="ro-RO"/>
        </w:rPr>
      </w:pPr>
      <w:r>
        <w:rPr>
          <w:lang w:val="ro-RO"/>
        </w:rPr>
        <w:t>Ritmul de înlocuire a bateriilor de-a lungul anilor poate fi vizualizat în următorul grafic:</w:t>
      </w:r>
    </w:p>
    <w:p w:rsidR="008E0D0A" w:rsidRDefault="008E0D0A" w:rsidP="008E0D0A">
      <w:pPr>
        <w:rPr>
          <w:lang w:val="ro-RO"/>
        </w:rPr>
      </w:pPr>
    </w:p>
    <w:p w:rsidR="008E0D0A" w:rsidRDefault="008E0D0A" w:rsidP="008E0D0A">
      <w:pPr>
        <w:rPr>
          <w:lang w:val="ro-RO"/>
        </w:rPr>
      </w:pPr>
    </w:p>
    <w:p w:rsidR="008E0D0A" w:rsidRDefault="008E0D0A" w:rsidP="008E0D0A">
      <w:pPr>
        <w:rPr>
          <w:lang w:val="ro-RO"/>
        </w:rPr>
      </w:pPr>
    </w:p>
    <w:p w:rsidR="008E0D0A" w:rsidRDefault="008E0D0A" w:rsidP="008E0D0A">
      <w:pPr>
        <w:rPr>
          <w:lang w:val="ro-RO"/>
        </w:rPr>
      </w:pPr>
    </w:p>
    <w:p w:rsidR="008E0D0A" w:rsidRDefault="008E0D0A" w:rsidP="008E0D0A">
      <w:pPr>
        <w:rPr>
          <w:lang w:val="ro-RO"/>
        </w:rPr>
      </w:pPr>
    </w:p>
    <w:p w:rsidR="008E0D0A" w:rsidRDefault="008E0D0A" w:rsidP="008E0D0A">
      <w:pPr>
        <w:rPr>
          <w:lang w:val="ro-RO"/>
        </w:rPr>
      </w:pPr>
    </w:p>
    <w:p w:rsidR="008E0D0A" w:rsidRDefault="008E0D0A" w:rsidP="008E0D0A">
      <w:pPr>
        <w:rPr>
          <w:lang w:val="ro-RO"/>
        </w:rPr>
      </w:pPr>
    </w:p>
    <w:p w:rsidR="008E0D0A" w:rsidRDefault="008E0D0A" w:rsidP="008E0D0A">
      <w:pPr>
        <w:rPr>
          <w:noProof/>
        </w:rPr>
      </w:pPr>
      <w:r>
        <w:rPr>
          <w:noProof/>
        </w:rPr>
        <w:lastRenderedPageBreak/>
        <w:drawing>
          <wp:anchor distT="0" distB="0" distL="114300" distR="114300" simplePos="0" relativeHeight="251659264" behindDoc="1" locked="0" layoutInCell="1" allowOverlap="1" wp14:anchorId="787D1ED6" wp14:editId="7314F6AB">
            <wp:simplePos x="0" y="0"/>
            <wp:positionH relativeFrom="column">
              <wp:posOffset>150495</wp:posOffset>
            </wp:positionH>
            <wp:positionV relativeFrom="paragraph">
              <wp:posOffset>339725</wp:posOffset>
            </wp:positionV>
            <wp:extent cx="5862955" cy="8710295"/>
            <wp:effectExtent l="19050" t="0" r="4445" b="0"/>
            <wp:wrapTight wrapText="bothSides">
              <wp:wrapPolygon edited="0">
                <wp:start x="-70" y="47"/>
                <wp:lineTo x="-70" y="21542"/>
                <wp:lineTo x="21616" y="21542"/>
                <wp:lineTo x="21616" y="47"/>
                <wp:lineTo x="-70" y="47"/>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62955" cy="8710295"/>
                    </a:xfrm>
                    <a:prstGeom prst="rect">
                      <a:avLst/>
                    </a:prstGeom>
                    <a:noFill/>
                    <a:ln w="9525">
                      <a:noFill/>
                      <a:miter lim="800000"/>
                      <a:headEnd/>
                      <a:tailEnd/>
                    </a:ln>
                  </pic:spPr>
                </pic:pic>
              </a:graphicData>
            </a:graphic>
          </wp:anchor>
        </w:drawing>
      </w:r>
    </w:p>
    <w:p w:rsidR="008E0D0A" w:rsidRDefault="008E0D0A" w:rsidP="008E0D0A">
      <w:pPr>
        <w:rPr>
          <w:lang w:val="ro-RO"/>
        </w:rPr>
      </w:pPr>
      <w:r>
        <w:rPr>
          <w:i/>
          <w:lang w:val="ro-RO"/>
        </w:rPr>
        <w:lastRenderedPageBreak/>
        <w:t>Barele mov reprezintă perioada extinsă a vieții bateriei</w:t>
      </w:r>
      <w:r>
        <w:rPr>
          <w:lang w:val="ro-RO"/>
        </w:rPr>
        <w:t>.</w:t>
      </w:r>
    </w:p>
    <w:p w:rsidR="008E0D0A" w:rsidRDefault="001423EC" w:rsidP="008E0D0A">
      <w:pPr>
        <w:rPr>
          <w:rFonts w:eastAsia="Verdana" w:cs="Verdana"/>
          <w:szCs w:val="24"/>
          <w:lang w:val="ro-RO"/>
        </w:rPr>
      </w:pPr>
      <w:r>
        <w:rPr>
          <w:lang w:val="ro-RO"/>
        </w:rPr>
        <w:t>Când sunt tratate cu tehnologia Crystal Control</w:t>
      </w:r>
      <w:r w:rsidRPr="00F67FC4">
        <w:rPr>
          <w:rFonts w:eastAsia="Verdana" w:cs="Verdana"/>
          <w:szCs w:val="24"/>
          <w:lang w:val="ro-RO"/>
        </w:rPr>
        <w:t>®</w:t>
      </w:r>
      <w:r>
        <w:rPr>
          <w:rFonts w:eastAsia="Verdana" w:cs="Verdana"/>
          <w:szCs w:val="24"/>
          <w:lang w:val="ro-RO"/>
        </w:rPr>
        <w:t xml:space="preserve"> bateriile nu trebuie înlocuite atât de frecvent și au o durată de viață mai mare. Această creștere a duratei de viață e marcată cu barele </w:t>
      </w:r>
      <w:r>
        <w:rPr>
          <w:rFonts w:eastAsia="Verdana" w:cs="Verdana"/>
          <w:b/>
          <w:szCs w:val="24"/>
          <w:lang w:val="ro-RO"/>
        </w:rPr>
        <w:t>mov</w:t>
      </w:r>
      <w:r>
        <w:rPr>
          <w:rFonts w:eastAsia="Verdana" w:cs="Verdana"/>
          <w:szCs w:val="24"/>
          <w:lang w:val="ro-RO"/>
        </w:rPr>
        <w:t>. Bateriile ce au fost folosite fără a li se aplica tratamentul timp de 13 luni sau mai puțin și mai au o durată de viață mai lungă de 11 luni își vor dubla durata de viață la 48 de luni.</w:t>
      </w:r>
    </w:p>
    <w:p w:rsidR="001423EC" w:rsidRDefault="001423EC" w:rsidP="008E0D0A">
      <w:pPr>
        <w:rPr>
          <w:rFonts w:eastAsia="Verdana" w:cs="Verdana"/>
          <w:szCs w:val="24"/>
          <w:lang w:val="ro-RO"/>
        </w:rPr>
      </w:pPr>
      <w:r>
        <w:rPr>
          <w:rFonts w:eastAsia="Verdana" w:cs="Verdana"/>
          <w:szCs w:val="24"/>
          <w:lang w:val="ro-RO"/>
        </w:rPr>
        <w:t>Bateriile ce au fost folosite mai bine de 20 de luni și au o durată de viață reziduală de doar câteva luni vor avea durata de viață extinsă cu până la câteva luni.</w:t>
      </w:r>
    </w:p>
    <w:p w:rsidR="001423EC" w:rsidRDefault="001423EC" w:rsidP="008E0D0A">
      <w:pPr>
        <w:rPr>
          <w:rFonts w:eastAsia="Verdana" w:cs="Verdana"/>
          <w:szCs w:val="24"/>
          <w:lang w:val="ro-RO"/>
        </w:rPr>
      </w:pPr>
      <w:r>
        <w:rPr>
          <w:rFonts w:eastAsia="Verdana" w:cs="Verdana"/>
          <w:szCs w:val="24"/>
          <w:lang w:val="ro-RO"/>
        </w:rPr>
        <w:t>Bateriile ce au fost folosite între 13 și 20 de luni vor beneficia din plin de tratament și li se va extinde durata de viață, dar nu li se va dubla.</w:t>
      </w:r>
    </w:p>
    <w:p w:rsidR="001423EC" w:rsidRDefault="001423EC" w:rsidP="008E0D0A">
      <w:pPr>
        <w:rPr>
          <w:rFonts w:eastAsia="Verdana" w:cs="Verdana"/>
          <w:szCs w:val="24"/>
          <w:lang w:val="ro-RO"/>
        </w:rPr>
      </w:pPr>
      <w:r>
        <w:rPr>
          <w:rFonts w:eastAsia="Verdana" w:cs="Verdana"/>
          <w:b/>
          <w:szCs w:val="24"/>
          <w:lang w:val="ro-RO"/>
        </w:rPr>
        <w:t>Ciclul de înlocuire a bateriilor</w:t>
      </w:r>
    </w:p>
    <w:p w:rsidR="001423EC" w:rsidRDefault="001423EC" w:rsidP="008E0D0A">
      <w:pPr>
        <w:rPr>
          <w:rFonts w:eastAsia="Verdana" w:cs="Verdana"/>
          <w:szCs w:val="24"/>
          <w:lang w:val="ro-RO"/>
        </w:rPr>
      </w:pPr>
      <w:r>
        <w:rPr>
          <w:rFonts w:eastAsia="Verdana" w:cs="Verdana"/>
          <w:szCs w:val="24"/>
          <w:lang w:val="ro-RO"/>
        </w:rPr>
        <w:t>În tabelul de mai jos este prezentat ciclul de înlocuire a bateriilor pentru aceeași serie de 24. Fără tratamentul CCT</w:t>
      </w:r>
      <w:r w:rsidRPr="00F67FC4">
        <w:rPr>
          <w:rFonts w:eastAsia="Verdana" w:cs="Verdana"/>
          <w:szCs w:val="24"/>
          <w:lang w:val="ro-RO"/>
        </w:rPr>
        <w:t>®</w:t>
      </w:r>
      <w:r>
        <w:rPr>
          <w:rFonts w:eastAsia="Verdana" w:cs="Verdana"/>
          <w:szCs w:val="24"/>
          <w:lang w:val="ro-RO"/>
        </w:rPr>
        <w:t>, proprietarul flotei trebuie să achiziționeze baterii de schimb pentru jumătate din bateriile flotei (12 baterii). Pe o perioadă de 6 ani, aceasta înseamnă 72 de baterii.</w:t>
      </w:r>
    </w:p>
    <w:p w:rsidR="001423EC" w:rsidRDefault="001423EC" w:rsidP="008E0D0A">
      <w:pPr>
        <w:rPr>
          <w:rFonts w:eastAsia="Verdana" w:cs="Verdana"/>
          <w:szCs w:val="24"/>
          <w:lang w:val="ro-RO"/>
        </w:rPr>
      </w:pPr>
      <w:r>
        <w:rPr>
          <w:rFonts w:eastAsia="Verdana" w:cs="Verdana"/>
          <w:szCs w:val="24"/>
          <w:lang w:val="ro-RO"/>
        </w:rPr>
        <w:t>Cu tehnologia revoluționară CCT</w:t>
      </w:r>
      <w:r w:rsidRPr="00F67FC4">
        <w:rPr>
          <w:rFonts w:eastAsia="Verdana" w:cs="Verdana"/>
          <w:szCs w:val="24"/>
          <w:lang w:val="ro-RO"/>
        </w:rPr>
        <w:t>®</w:t>
      </w:r>
      <w:r>
        <w:rPr>
          <w:rFonts w:eastAsia="Verdana" w:cs="Verdana"/>
          <w:szCs w:val="24"/>
          <w:lang w:val="ro-RO"/>
        </w:rPr>
        <w:t>, ciclul de înlocuire a bateriilor</w:t>
      </w:r>
      <w:r w:rsidR="008A7B96">
        <w:rPr>
          <w:rFonts w:eastAsia="Verdana" w:cs="Verdana"/>
          <w:szCs w:val="24"/>
          <w:lang w:val="ro-RO"/>
        </w:rPr>
        <w:t xml:space="preserve">, noul ciclu de înlocuire a bateriilor reduce numărul de baterii ce trebuie înlocuite pe o perioadă de 6 ani la doar 33. Aceasta reprezintă o economie de </w:t>
      </w:r>
      <w:r w:rsidR="008A7B96">
        <w:rPr>
          <w:rFonts w:eastAsia="Verdana" w:cs="Verdana"/>
          <w:b/>
          <w:szCs w:val="24"/>
          <w:lang w:val="ro-RO"/>
        </w:rPr>
        <w:t>54%</w:t>
      </w:r>
      <w:r w:rsidR="008A7B96">
        <w:rPr>
          <w:rFonts w:eastAsia="Verdana" w:cs="Verdana"/>
          <w:szCs w:val="24"/>
          <w:lang w:val="ro-RO"/>
        </w:rPr>
        <w:t>.</w:t>
      </w:r>
    </w:p>
    <w:p w:rsidR="008A7B96" w:rsidRDefault="008A7B96" w:rsidP="008A7B96">
      <w:pPr>
        <w:spacing w:line="360" w:lineRule="auto"/>
        <w:rPr>
          <w:rFonts w:eastAsia="Verdana" w:cs="Verdana"/>
          <w:szCs w:val="24"/>
          <w:lang w:val="ro-RO"/>
        </w:rPr>
      </w:pPr>
      <w:r>
        <w:rPr>
          <w:rFonts w:eastAsia="Verdana" w:cs="Verdana"/>
          <w:szCs w:val="24"/>
          <w:lang w:val="ro-RO"/>
        </w:rPr>
        <w:t>Pe o perioadă de 12 ani, fără tratamentul CCT</w:t>
      </w:r>
      <w:r w:rsidRPr="00F67FC4">
        <w:rPr>
          <w:rFonts w:eastAsia="Verdana" w:cs="Verdana"/>
          <w:szCs w:val="24"/>
          <w:lang w:val="ro-RO"/>
        </w:rPr>
        <w:t>®</w:t>
      </w:r>
      <w:r>
        <w:rPr>
          <w:rFonts w:eastAsia="Verdana" w:cs="Verdana"/>
          <w:szCs w:val="24"/>
          <w:lang w:val="ro-RO"/>
        </w:rPr>
        <w:t>, 144 de baterii de schimb vor fi fost achiziționate. Cu tratamentul CCT</w:t>
      </w:r>
      <w:r w:rsidRPr="00F67FC4">
        <w:rPr>
          <w:rFonts w:eastAsia="Verdana" w:cs="Verdana"/>
          <w:szCs w:val="24"/>
          <w:lang w:val="ro-RO"/>
        </w:rPr>
        <w:t>®</w:t>
      </w:r>
      <w:r>
        <w:rPr>
          <w:rFonts w:eastAsia="Verdana" w:cs="Verdana"/>
          <w:szCs w:val="24"/>
          <w:lang w:val="ro-RO"/>
        </w:rPr>
        <w:t xml:space="preserve">, doar 72 de baterii sunt necesare, totalizând o economie de </w:t>
      </w:r>
      <w:r>
        <w:rPr>
          <w:rFonts w:eastAsia="Verdana" w:cs="Verdana"/>
          <w:b/>
          <w:szCs w:val="24"/>
          <w:lang w:val="ro-RO"/>
        </w:rPr>
        <w:t>50%</w:t>
      </w:r>
      <w:r>
        <w:rPr>
          <w:rFonts w:eastAsia="Verdana" w:cs="Verdana"/>
          <w:szCs w:val="24"/>
          <w:lang w:val="ro-RO"/>
        </w:rPr>
        <w:t>.</w:t>
      </w:r>
    </w:p>
    <w:tbl>
      <w:tblPr>
        <w:tblStyle w:val="TableGrid"/>
        <w:tblW w:w="0" w:type="auto"/>
        <w:tblLook w:val="04A0" w:firstRow="1" w:lastRow="0" w:firstColumn="1" w:lastColumn="0" w:noHBand="0" w:noVBand="1"/>
      </w:tblPr>
      <w:tblGrid>
        <w:gridCol w:w="1188"/>
        <w:gridCol w:w="934"/>
        <w:gridCol w:w="1060"/>
        <w:gridCol w:w="1060"/>
        <w:gridCol w:w="1060"/>
        <w:gridCol w:w="1060"/>
        <w:gridCol w:w="1060"/>
        <w:gridCol w:w="1062"/>
        <w:gridCol w:w="1092"/>
      </w:tblGrid>
      <w:tr w:rsidR="008A7B96" w:rsidTr="008A7B96">
        <w:tc>
          <w:tcPr>
            <w:tcW w:w="1188"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An</w:t>
            </w:r>
          </w:p>
        </w:tc>
        <w:tc>
          <w:tcPr>
            <w:tcW w:w="934"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1</w:t>
            </w:r>
          </w:p>
        </w:tc>
        <w:tc>
          <w:tcPr>
            <w:tcW w:w="1060"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2</w:t>
            </w:r>
          </w:p>
        </w:tc>
        <w:tc>
          <w:tcPr>
            <w:tcW w:w="1060"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3</w:t>
            </w:r>
          </w:p>
        </w:tc>
        <w:tc>
          <w:tcPr>
            <w:tcW w:w="1060"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4</w:t>
            </w:r>
          </w:p>
        </w:tc>
        <w:tc>
          <w:tcPr>
            <w:tcW w:w="1060"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5</w:t>
            </w:r>
          </w:p>
        </w:tc>
        <w:tc>
          <w:tcPr>
            <w:tcW w:w="1060"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6</w:t>
            </w:r>
          </w:p>
        </w:tc>
        <w:tc>
          <w:tcPr>
            <w:tcW w:w="1062"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Total</w:t>
            </w:r>
          </w:p>
        </w:tc>
        <w:tc>
          <w:tcPr>
            <w:tcW w:w="1092"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Procentaj</w:t>
            </w:r>
          </w:p>
        </w:tc>
      </w:tr>
      <w:tr w:rsidR="008A7B96" w:rsidTr="008A7B96">
        <w:tc>
          <w:tcPr>
            <w:tcW w:w="1188"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Fără BEAT</w:t>
            </w:r>
            <w:r w:rsidRPr="00F67FC4">
              <w:rPr>
                <w:rFonts w:eastAsia="Verdana" w:cs="Verdana"/>
                <w:szCs w:val="24"/>
                <w:lang w:val="ro-RO"/>
              </w:rPr>
              <w:t>®</w:t>
            </w:r>
          </w:p>
        </w:tc>
        <w:tc>
          <w:tcPr>
            <w:tcW w:w="934"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2" w:type="dxa"/>
          </w:tcPr>
          <w:p w:rsidR="008A7B96" w:rsidRDefault="008A7B96" w:rsidP="008A7B96">
            <w:pPr>
              <w:spacing w:line="360" w:lineRule="auto"/>
              <w:rPr>
                <w:rFonts w:eastAsia="Verdana" w:cs="Verdana"/>
                <w:szCs w:val="24"/>
                <w:lang w:val="ro-RO"/>
              </w:rPr>
            </w:pPr>
            <w:r>
              <w:rPr>
                <w:rFonts w:eastAsia="Verdana" w:cs="Verdana"/>
                <w:szCs w:val="24"/>
                <w:lang w:val="ro-RO"/>
              </w:rPr>
              <w:t>72</w:t>
            </w:r>
          </w:p>
        </w:tc>
        <w:tc>
          <w:tcPr>
            <w:tcW w:w="1092" w:type="dxa"/>
          </w:tcPr>
          <w:p w:rsidR="008A7B96" w:rsidRDefault="008A7B96" w:rsidP="008A7B96">
            <w:pPr>
              <w:spacing w:line="360" w:lineRule="auto"/>
              <w:rPr>
                <w:rFonts w:eastAsia="Verdana" w:cs="Verdana"/>
                <w:szCs w:val="24"/>
                <w:lang w:val="ro-RO"/>
              </w:rPr>
            </w:pPr>
            <w:r>
              <w:rPr>
                <w:rFonts w:eastAsia="Verdana" w:cs="Verdana"/>
                <w:szCs w:val="24"/>
                <w:lang w:val="ro-RO"/>
              </w:rPr>
              <w:t>100%</w:t>
            </w:r>
          </w:p>
        </w:tc>
      </w:tr>
      <w:tr w:rsidR="008A7B96" w:rsidTr="008A7B96">
        <w:tc>
          <w:tcPr>
            <w:tcW w:w="1188"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Cu BEAT</w:t>
            </w:r>
            <w:r w:rsidRPr="00F67FC4">
              <w:rPr>
                <w:rFonts w:eastAsia="Verdana" w:cs="Verdana"/>
                <w:szCs w:val="24"/>
                <w:lang w:val="ro-RO"/>
              </w:rPr>
              <w:t>®</w:t>
            </w:r>
          </w:p>
        </w:tc>
        <w:tc>
          <w:tcPr>
            <w:tcW w:w="934" w:type="dxa"/>
          </w:tcPr>
          <w:p w:rsidR="008A7B96" w:rsidRDefault="008A7B96" w:rsidP="008A7B96">
            <w:pPr>
              <w:spacing w:line="360" w:lineRule="auto"/>
              <w:rPr>
                <w:rFonts w:eastAsia="Verdana" w:cs="Verdana"/>
                <w:szCs w:val="24"/>
                <w:lang w:val="ro-RO"/>
              </w:rPr>
            </w:pPr>
            <w:r>
              <w:rPr>
                <w:rFonts w:eastAsia="Verdana" w:cs="Verdana"/>
                <w:szCs w:val="24"/>
                <w:lang w:val="ro-RO"/>
              </w:rPr>
              <w:t>6</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3</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3</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6</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3</w:t>
            </w:r>
          </w:p>
        </w:tc>
        <w:tc>
          <w:tcPr>
            <w:tcW w:w="1062" w:type="dxa"/>
          </w:tcPr>
          <w:p w:rsidR="008A7B96" w:rsidRDefault="008A7B96" w:rsidP="008A7B96">
            <w:pPr>
              <w:spacing w:line="360" w:lineRule="auto"/>
              <w:rPr>
                <w:rFonts w:eastAsia="Verdana" w:cs="Verdana"/>
                <w:szCs w:val="24"/>
                <w:lang w:val="ro-RO"/>
              </w:rPr>
            </w:pPr>
            <w:r>
              <w:rPr>
                <w:rFonts w:eastAsia="Verdana" w:cs="Verdana"/>
                <w:szCs w:val="24"/>
                <w:lang w:val="ro-RO"/>
              </w:rPr>
              <w:t>33</w:t>
            </w:r>
          </w:p>
        </w:tc>
        <w:tc>
          <w:tcPr>
            <w:tcW w:w="1092" w:type="dxa"/>
          </w:tcPr>
          <w:p w:rsidR="008A7B96" w:rsidRDefault="008A7B96" w:rsidP="008A7B96">
            <w:pPr>
              <w:spacing w:line="360" w:lineRule="auto"/>
              <w:rPr>
                <w:rFonts w:eastAsia="Verdana" w:cs="Verdana"/>
                <w:szCs w:val="24"/>
                <w:lang w:val="ro-RO"/>
              </w:rPr>
            </w:pPr>
            <w:r>
              <w:rPr>
                <w:rFonts w:eastAsia="Verdana" w:cs="Verdana"/>
                <w:szCs w:val="24"/>
                <w:lang w:val="ro-RO"/>
              </w:rPr>
              <w:t>46%</w:t>
            </w:r>
          </w:p>
        </w:tc>
      </w:tr>
    </w:tbl>
    <w:p w:rsidR="008A7B96" w:rsidRDefault="008A7B96" w:rsidP="008A7B96">
      <w:pPr>
        <w:spacing w:line="360" w:lineRule="auto"/>
        <w:rPr>
          <w:rFonts w:eastAsia="Verdana" w:cs="Verdana"/>
          <w:szCs w:val="24"/>
          <w:lang w:val="ro-RO"/>
        </w:rPr>
      </w:pPr>
    </w:p>
    <w:tbl>
      <w:tblPr>
        <w:tblStyle w:val="TableGrid"/>
        <w:tblW w:w="9704" w:type="dxa"/>
        <w:tblLook w:val="04A0" w:firstRow="1" w:lastRow="0" w:firstColumn="1" w:lastColumn="0" w:noHBand="0" w:noVBand="1"/>
      </w:tblPr>
      <w:tblGrid>
        <w:gridCol w:w="1186"/>
        <w:gridCol w:w="1184"/>
        <w:gridCol w:w="937"/>
        <w:gridCol w:w="1060"/>
        <w:gridCol w:w="1061"/>
        <w:gridCol w:w="1061"/>
        <w:gridCol w:w="1061"/>
        <w:gridCol w:w="1062"/>
        <w:gridCol w:w="1092"/>
      </w:tblGrid>
      <w:tr w:rsidR="008A7B96" w:rsidTr="008A7B96">
        <w:tc>
          <w:tcPr>
            <w:tcW w:w="1186" w:type="dxa"/>
          </w:tcPr>
          <w:p w:rsidR="008A7B96" w:rsidRPr="008A7B96" w:rsidRDefault="008A7B96" w:rsidP="0071014E">
            <w:pPr>
              <w:spacing w:line="360" w:lineRule="auto"/>
              <w:rPr>
                <w:rFonts w:eastAsia="Verdana" w:cs="Verdana"/>
                <w:b/>
                <w:szCs w:val="24"/>
                <w:lang w:val="ro-RO"/>
              </w:rPr>
            </w:pPr>
            <w:r>
              <w:rPr>
                <w:rFonts w:eastAsia="Verdana" w:cs="Verdana"/>
                <w:b/>
                <w:szCs w:val="24"/>
                <w:lang w:val="ro-RO"/>
              </w:rPr>
              <w:t>An</w:t>
            </w:r>
          </w:p>
        </w:tc>
        <w:tc>
          <w:tcPr>
            <w:tcW w:w="1184"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7</w:t>
            </w:r>
          </w:p>
        </w:tc>
        <w:tc>
          <w:tcPr>
            <w:tcW w:w="937"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8</w:t>
            </w:r>
          </w:p>
        </w:tc>
        <w:tc>
          <w:tcPr>
            <w:tcW w:w="1060"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9</w:t>
            </w:r>
          </w:p>
        </w:tc>
        <w:tc>
          <w:tcPr>
            <w:tcW w:w="1061"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10</w:t>
            </w:r>
          </w:p>
        </w:tc>
        <w:tc>
          <w:tcPr>
            <w:tcW w:w="1061"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11</w:t>
            </w:r>
          </w:p>
        </w:tc>
        <w:tc>
          <w:tcPr>
            <w:tcW w:w="1061"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12</w:t>
            </w:r>
          </w:p>
        </w:tc>
        <w:tc>
          <w:tcPr>
            <w:tcW w:w="1062"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Total</w:t>
            </w:r>
          </w:p>
        </w:tc>
        <w:tc>
          <w:tcPr>
            <w:tcW w:w="1092"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Procentaj</w:t>
            </w:r>
          </w:p>
        </w:tc>
      </w:tr>
      <w:tr w:rsidR="008A7B96" w:rsidTr="008A7B96">
        <w:tc>
          <w:tcPr>
            <w:tcW w:w="1186" w:type="dxa"/>
          </w:tcPr>
          <w:p w:rsidR="008A7B96" w:rsidRPr="008A7B96" w:rsidRDefault="008A7B96" w:rsidP="0071014E">
            <w:pPr>
              <w:spacing w:line="360" w:lineRule="auto"/>
              <w:rPr>
                <w:rFonts w:eastAsia="Verdana" w:cs="Verdana"/>
                <w:b/>
                <w:szCs w:val="24"/>
                <w:lang w:val="ro-RO"/>
              </w:rPr>
            </w:pPr>
            <w:r>
              <w:rPr>
                <w:rFonts w:eastAsia="Verdana" w:cs="Verdana"/>
                <w:b/>
                <w:szCs w:val="24"/>
                <w:lang w:val="ro-RO"/>
              </w:rPr>
              <w:t>Fără BEAT</w:t>
            </w:r>
            <w:r w:rsidRPr="00F67FC4">
              <w:rPr>
                <w:rFonts w:eastAsia="Verdana" w:cs="Verdana"/>
                <w:szCs w:val="24"/>
                <w:lang w:val="ro-RO"/>
              </w:rPr>
              <w:t>®</w:t>
            </w:r>
          </w:p>
        </w:tc>
        <w:tc>
          <w:tcPr>
            <w:tcW w:w="1184" w:type="dxa"/>
          </w:tcPr>
          <w:p w:rsidR="008A7B96" w:rsidRPr="008A7B96" w:rsidRDefault="008A7B96" w:rsidP="008A7B96">
            <w:pPr>
              <w:spacing w:line="360" w:lineRule="auto"/>
              <w:rPr>
                <w:rFonts w:eastAsia="Verdana" w:cs="Verdana"/>
                <w:szCs w:val="24"/>
                <w:lang w:val="ro-RO"/>
              </w:rPr>
            </w:pPr>
            <w:r>
              <w:rPr>
                <w:rFonts w:eastAsia="Verdana" w:cs="Verdana"/>
                <w:szCs w:val="24"/>
                <w:lang w:val="ro-RO"/>
              </w:rPr>
              <w:t>12</w:t>
            </w:r>
          </w:p>
        </w:tc>
        <w:tc>
          <w:tcPr>
            <w:tcW w:w="937"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1"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1"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1"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2" w:type="dxa"/>
          </w:tcPr>
          <w:p w:rsidR="008A7B96" w:rsidRDefault="008A7B96" w:rsidP="008A7B96">
            <w:pPr>
              <w:spacing w:line="360" w:lineRule="auto"/>
              <w:rPr>
                <w:rFonts w:eastAsia="Verdana" w:cs="Verdana"/>
                <w:szCs w:val="24"/>
                <w:lang w:val="ro-RO"/>
              </w:rPr>
            </w:pPr>
            <w:r>
              <w:rPr>
                <w:rFonts w:eastAsia="Verdana" w:cs="Verdana"/>
                <w:szCs w:val="24"/>
                <w:lang w:val="ro-RO"/>
              </w:rPr>
              <w:t>144</w:t>
            </w:r>
          </w:p>
        </w:tc>
        <w:tc>
          <w:tcPr>
            <w:tcW w:w="1092" w:type="dxa"/>
          </w:tcPr>
          <w:p w:rsidR="008A7B96" w:rsidRDefault="008A7B96" w:rsidP="008A7B96">
            <w:pPr>
              <w:spacing w:line="360" w:lineRule="auto"/>
              <w:rPr>
                <w:rFonts w:eastAsia="Verdana" w:cs="Verdana"/>
                <w:szCs w:val="24"/>
                <w:lang w:val="ro-RO"/>
              </w:rPr>
            </w:pPr>
            <w:r>
              <w:rPr>
                <w:rFonts w:eastAsia="Verdana" w:cs="Verdana"/>
                <w:szCs w:val="24"/>
                <w:lang w:val="ro-RO"/>
              </w:rPr>
              <w:t>100%</w:t>
            </w:r>
          </w:p>
        </w:tc>
      </w:tr>
      <w:tr w:rsidR="008A7B96" w:rsidTr="008A7B96">
        <w:tc>
          <w:tcPr>
            <w:tcW w:w="1186" w:type="dxa"/>
          </w:tcPr>
          <w:p w:rsidR="008A7B96" w:rsidRPr="008A7B96" w:rsidRDefault="008A7B96" w:rsidP="0071014E">
            <w:pPr>
              <w:spacing w:line="360" w:lineRule="auto"/>
              <w:rPr>
                <w:rFonts w:eastAsia="Verdana" w:cs="Verdana"/>
                <w:b/>
                <w:szCs w:val="24"/>
                <w:lang w:val="ro-RO"/>
              </w:rPr>
            </w:pPr>
            <w:r>
              <w:rPr>
                <w:rFonts w:eastAsia="Verdana" w:cs="Verdana"/>
                <w:b/>
                <w:szCs w:val="24"/>
                <w:lang w:val="ro-RO"/>
              </w:rPr>
              <w:t>Cu BEAT</w:t>
            </w:r>
            <w:r w:rsidRPr="00F67FC4">
              <w:rPr>
                <w:rFonts w:eastAsia="Verdana" w:cs="Verdana"/>
                <w:szCs w:val="24"/>
                <w:lang w:val="ro-RO"/>
              </w:rPr>
              <w:t>®</w:t>
            </w:r>
          </w:p>
        </w:tc>
        <w:tc>
          <w:tcPr>
            <w:tcW w:w="1184" w:type="dxa"/>
          </w:tcPr>
          <w:p w:rsidR="008A7B96" w:rsidRPr="008A7B96" w:rsidRDefault="008A7B96" w:rsidP="008A7B96">
            <w:pPr>
              <w:spacing w:line="360" w:lineRule="auto"/>
              <w:rPr>
                <w:rFonts w:eastAsia="Verdana" w:cs="Verdana"/>
                <w:b/>
                <w:szCs w:val="24"/>
                <w:lang w:val="ro-RO"/>
              </w:rPr>
            </w:pPr>
            <w:r>
              <w:rPr>
                <w:rFonts w:eastAsia="Verdana" w:cs="Verdana"/>
                <w:b/>
                <w:szCs w:val="24"/>
                <w:lang w:val="ro-RO"/>
              </w:rPr>
              <w:t>3</w:t>
            </w:r>
          </w:p>
        </w:tc>
        <w:tc>
          <w:tcPr>
            <w:tcW w:w="937"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0" w:type="dxa"/>
          </w:tcPr>
          <w:p w:rsidR="008A7B96" w:rsidRDefault="008A7B96" w:rsidP="008A7B96">
            <w:pPr>
              <w:spacing w:line="360" w:lineRule="auto"/>
              <w:rPr>
                <w:rFonts w:eastAsia="Verdana" w:cs="Verdana"/>
                <w:szCs w:val="24"/>
                <w:lang w:val="ro-RO"/>
              </w:rPr>
            </w:pPr>
            <w:r>
              <w:rPr>
                <w:rFonts w:eastAsia="Verdana" w:cs="Verdana"/>
                <w:szCs w:val="24"/>
                <w:lang w:val="ro-RO"/>
              </w:rPr>
              <w:t>6</w:t>
            </w:r>
          </w:p>
        </w:tc>
        <w:tc>
          <w:tcPr>
            <w:tcW w:w="1061" w:type="dxa"/>
          </w:tcPr>
          <w:p w:rsidR="008A7B96" w:rsidRDefault="008A7B96" w:rsidP="008A7B96">
            <w:pPr>
              <w:spacing w:line="360" w:lineRule="auto"/>
              <w:rPr>
                <w:rFonts w:eastAsia="Verdana" w:cs="Verdana"/>
                <w:szCs w:val="24"/>
                <w:lang w:val="ro-RO"/>
              </w:rPr>
            </w:pPr>
            <w:r>
              <w:rPr>
                <w:rFonts w:eastAsia="Verdana" w:cs="Verdana"/>
                <w:szCs w:val="24"/>
                <w:lang w:val="ro-RO"/>
              </w:rPr>
              <w:t>3</w:t>
            </w:r>
          </w:p>
        </w:tc>
        <w:tc>
          <w:tcPr>
            <w:tcW w:w="1061" w:type="dxa"/>
          </w:tcPr>
          <w:p w:rsidR="008A7B96" w:rsidRDefault="008A7B96" w:rsidP="008A7B96">
            <w:pPr>
              <w:spacing w:line="360" w:lineRule="auto"/>
              <w:rPr>
                <w:rFonts w:eastAsia="Verdana" w:cs="Verdana"/>
                <w:szCs w:val="24"/>
                <w:lang w:val="ro-RO"/>
              </w:rPr>
            </w:pPr>
            <w:r>
              <w:rPr>
                <w:rFonts w:eastAsia="Verdana" w:cs="Verdana"/>
                <w:szCs w:val="24"/>
                <w:lang w:val="ro-RO"/>
              </w:rPr>
              <w:t>3</w:t>
            </w:r>
          </w:p>
        </w:tc>
        <w:tc>
          <w:tcPr>
            <w:tcW w:w="1061" w:type="dxa"/>
          </w:tcPr>
          <w:p w:rsidR="008A7B96" w:rsidRDefault="008A7B96" w:rsidP="008A7B96">
            <w:pPr>
              <w:spacing w:line="360" w:lineRule="auto"/>
              <w:rPr>
                <w:rFonts w:eastAsia="Verdana" w:cs="Verdana"/>
                <w:szCs w:val="24"/>
                <w:lang w:val="ro-RO"/>
              </w:rPr>
            </w:pPr>
            <w:r>
              <w:rPr>
                <w:rFonts w:eastAsia="Verdana" w:cs="Verdana"/>
                <w:szCs w:val="24"/>
                <w:lang w:val="ro-RO"/>
              </w:rPr>
              <w:t>12</w:t>
            </w:r>
          </w:p>
        </w:tc>
        <w:tc>
          <w:tcPr>
            <w:tcW w:w="1062" w:type="dxa"/>
          </w:tcPr>
          <w:p w:rsidR="008A7B96" w:rsidRDefault="008A7B96" w:rsidP="008A7B96">
            <w:pPr>
              <w:spacing w:line="360" w:lineRule="auto"/>
              <w:rPr>
                <w:rFonts w:eastAsia="Verdana" w:cs="Verdana"/>
                <w:szCs w:val="24"/>
                <w:lang w:val="ro-RO"/>
              </w:rPr>
            </w:pPr>
            <w:r>
              <w:rPr>
                <w:rFonts w:eastAsia="Verdana" w:cs="Verdana"/>
                <w:szCs w:val="24"/>
                <w:lang w:val="ro-RO"/>
              </w:rPr>
              <w:t>72</w:t>
            </w:r>
          </w:p>
        </w:tc>
        <w:tc>
          <w:tcPr>
            <w:tcW w:w="1092" w:type="dxa"/>
          </w:tcPr>
          <w:p w:rsidR="008A7B96" w:rsidRDefault="008A7B96" w:rsidP="008A7B96">
            <w:pPr>
              <w:spacing w:line="360" w:lineRule="auto"/>
              <w:rPr>
                <w:rFonts w:eastAsia="Verdana" w:cs="Verdana"/>
                <w:szCs w:val="24"/>
                <w:lang w:val="ro-RO"/>
              </w:rPr>
            </w:pPr>
            <w:r>
              <w:rPr>
                <w:rFonts w:eastAsia="Verdana" w:cs="Verdana"/>
                <w:szCs w:val="24"/>
                <w:lang w:val="ro-RO"/>
              </w:rPr>
              <w:t>50%</w:t>
            </w:r>
          </w:p>
        </w:tc>
      </w:tr>
    </w:tbl>
    <w:p w:rsidR="008A7B96" w:rsidRDefault="008A7B96" w:rsidP="008A7B96">
      <w:pPr>
        <w:spacing w:line="360" w:lineRule="auto"/>
        <w:rPr>
          <w:rFonts w:eastAsia="Verdana" w:cs="Verdana"/>
          <w:szCs w:val="24"/>
          <w:lang w:val="ro-RO"/>
        </w:rPr>
      </w:pPr>
    </w:p>
    <w:p w:rsidR="008A7B96" w:rsidRDefault="008A7B96" w:rsidP="008A7B96">
      <w:pPr>
        <w:spacing w:line="360" w:lineRule="auto"/>
        <w:rPr>
          <w:rFonts w:eastAsia="Verdana" w:cs="Verdana"/>
          <w:szCs w:val="24"/>
          <w:lang w:val="ro-RO"/>
        </w:rPr>
      </w:pPr>
      <w:r>
        <w:rPr>
          <w:rFonts w:eastAsia="Verdana" w:cs="Verdana"/>
          <w:szCs w:val="24"/>
          <w:lang w:val="ro-RO"/>
        </w:rPr>
        <w:t>Graficul de mai jos arată o creștere în înlocuirea bateriilor fără CCT</w:t>
      </w:r>
      <w:r w:rsidRPr="00F67FC4">
        <w:rPr>
          <w:rFonts w:eastAsia="Verdana" w:cs="Verdana"/>
          <w:szCs w:val="24"/>
          <w:lang w:val="ro-RO"/>
        </w:rPr>
        <w:t>®</w:t>
      </w:r>
      <w:r>
        <w:rPr>
          <w:rFonts w:eastAsia="Verdana" w:cs="Verdana"/>
          <w:szCs w:val="24"/>
          <w:lang w:val="ro-RO"/>
        </w:rPr>
        <w:t xml:space="preserve"> prin linia roșie. Linia albastră reprezintă 50% din înlocuirile liniei roșii. În timpul primilor trei ani, numărul de baterii înlocuite este chiar mai mic de 50% din suma totală (rezultând în economii mai mari), dar crește la o medie de 50%.</w:t>
      </w:r>
    </w:p>
    <w:p w:rsidR="008A7B96" w:rsidRPr="008A7B96" w:rsidRDefault="008A7B96" w:rsidP="008A7B96">
      <w:pPr>
        <w:spacing w:line="360" w:lineRule="auto"/>
        <w:rPr>
          <w:rFonts w:eastAsia="Verdana" w:cs="Verdana"/>
          <w:szCs w:val="24"/>
          <w:lang w:val="ro-RO"/>
        </w:rPr>
      </w:pPr>
      <w:r>
        <w:rPr>
          <w:rFonts w:eastAsia="Verdana" w:cs="Verdana"/>
          <w:b/>
          <w:szCs w:val="24"/>
          <w:lang w:val="ro-RO"/>
        </w:rPr>
        <w:lastRenderedPageBreak/>
        <w:t>Concluzia este limpede:</w:t>
      </w:r>
      <w:r>
        <w:rPr>
          <w:rFonts w:eastAsia="Verdana" w:cs="Verdana"/>
          <w:szCs w:val="24"/>
          <w:lang w:val="ro-RO"/>
        </w:rPr>
        <w:t xml:space="preserve"> tehnologia Crystal Control</w:t>
      </w:r>
      <w:r w:rsidRPr="00F67FC4">
        <w:rPr>
          <w:rFonts w:eastAsia="Verdana" w:cs="Verdana"/>
          <w:szCs w:val="24"/>
          <w:lang w:val="ro-RO"/>
        </w:rPr>
        <w:t>®</w:t>
      </w:r>
      <w:r>
        <w:rPr>
          <w:rFonts w:eastAsia="Verdana" w:cs="Verdana"/>
          <w:szCs w:val="24"/>
          <w:lang w:val="ro-RO"/>
        </w:rPr>
        <w:t xml:space="preserve"> a dispozitivelor noastre BEAT</w:t>
      </w:r>
      <w:r w:rsidRPr="00F67FC4">
        <w:rPr>
          <w:rFonts w:eastAsia="Verdana" w:cs="Verdana"/>
          <w:szCs w:val="24"/>
          <w:lang w:val="ro-RO"/>
        </w:rPr>
        <w:t>®</w:t>
      </w:r>
      <w:r>
        <w:rPr>
          <w:rFonts w:eastAsia="Verdana" w:cs="Verdana"/>
          <w:szCs w:val="24"/>
          <w:lang w:val="ro-RO"/>
        </w:rPr>
        <w:t xml:space="preserve"> </w:t>
      </w:r>
      <w:r w:rsidR="00975EC8">
        <w:rPr>
          <w:rFonts w:eastAsia="Verdana" w:cs="Verdana"/>
          <w:szCs w:val="24"/>
          <w:lang w:val="ro-RO"/>
        </w:rPr>
        <w:t>ajută la reducerea numărului de baterii schimbate într-o flotă de autovehicule în medie cu până la 50%, de asemenea reducându-se și costurile cu până la 50%.</w:t>
      </w:r>
      <w:bookmarkStart w:id="0" w:name="_GoBack"/>
      <w:bookmarkEnd w:id="0"/>
    </w:p>
    <w:sectPr w:rsidR="008A7B96" w:rsidRPr="008A7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53D"/>
    <w:multiLevelType w:val="hybridMultilevel"/>
    <w:tmpl w:val="6858515A"/>
    <w:lvl w:ilvl="0" w:tplc="36F85A4C">
      <w:start w:val="1"/>
      <w:numFmt w:val="decimal"/>
      <w:lvlText w:val="%1."/>
      <w:lvlJc w:val="left"/>
      <w:pPr>
        <w:ind w:left="720" w:hanging="360"/>
      </w:pPr>
      <w:rPr>
        <w:rFonts w:eastAsia="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066B4"/>
    <w:multiLevelType w:val="hybridMultilevel"/>
    <w:tmpl w:val="15A8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336FBD"/>
    <w:multiLevelType w:val="hybridMultilevel"/>
    <w:tmpl w:val="A3800676"/>
    <w:lvl w:ilvl="0" w:tplc="68E6AA38">
      <w:start w:val="1"/>
      <w:numFmt w:val="bullet"/>
      <w:lvlText w:val="-"/>
      <w:lvlJc w:val="left"/>
      <w:pPr>
        <w:ind w:left="720" w:hanging="360"/>
      </w:pPr>
      <w:rPr>
        <w:rFonts w:ascii="Calibri" w:eastAsia="Verdan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C4"/>
    <w:rsid w:val="001423EC"/>
    <w:rsid w:val="004B5538"/>
    <w:rsid w:val="00681734"/>
    <w:rsid w:val="007B278C"/>
    <w:rsid w:val="008A7B96"/>
    <w:rsid w:val="008E0D0A"/>
    <w:rsid w:val="00975EC8"/>
    <w:rsid w:val="00BC25E8"/>
    <w:rsid w:val="00D95DB0"/>
    <w:rsid w:val="00F6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278C"/>
    <w:pPr>
      <w:ind w:left="720"/>
      <w:contextualSpacing/>
    </w:pPr>
  </w:style>
  <w:style w:type="paragraph" w:styleId="BalloonText">
    <w:name w:val="Balloon Text"/>
    <w:basedOn w:val="Normal"/>
    <w:link w:val="BalloonTextChar"/>
    <w:uiPriority w:val="99"/>
    <w:semiHidden/>
    <w:unhideWhenUsed/>
    <w:rsid w:val="008E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D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278C"/>
    <w:pPr>
      <w:ind w:left="720"/>
      <w:contextualSpacing/>
    </w:pPr>
  </w:style>
  <w:style w:type="paragraph" w:styleId="BalloonText">
    <w:name w:val="Balloon Text"/>
    <w:basedOn w:val="Normal"/>
    <w:link w:val="BalloonTextChar"/>
    <w:uiPriority w:val="99"/>
    <w:semiHidden/>
    <w:unhideWhenUsed/>
    <w:rsid w:val="008E0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D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I</dc:creator>
  <cp:lastModifiedBy>Marius I</cp:lastModifiedBy>
  <cp:revision>3</cp:revision>
  <dcterms:created xsi:type="dcterms:W3CDTF">2015-02-11T17:00:00Z</dcterms:created>
  <dcterms:modified xsi:type="dcterms:W3CDTF">2015-02-11T21:08:00Z</dcterms:modified>
</cp:coreProperties>
</file>