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1" w:rsidRPr="00997486" w:rsidRDefault="00997486" w:rsidP="00FE1412">
      <w:pPr>
        <w:pStyle w:val="Title"/>
        <w:spacing w:after="0"/>
      </w:pPr>
      <w:r w:rsidRPr="00997486">
        <w:t>Tratament</w:t>
      </w:r>
      <w:r w:rsidR="00D36C0F">
        <w:t>ul</w:t>
      </w:r>
      <w:r w:rsidRPr="00997486">
        <w:t xml:space="preserve"> </w:t>
      </w:r>
      <w:r w:rsidR="00D36C0F">
        <w:t xml:space="preserve">eficace al </w:t>
      </w:r>
      <w:r w:rsidRPr="00997486">
        <w:t>obezităţii</w:t>
      </w:r>
    </w:p>
    <w:p w:rsidR="00FE1412" w:rsidRDefault="00FE1412" w:rsidP="00FE14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7486" w:rsidRPr="00997486" w:rsidRDefault="00FE1412" w:rsidP="00FE1412">
      <w:pPr>
        <w:pStyle w:val="Heading1"/>
        <w:spacing w:befor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013F96" wp14:editId="58F1559A">
            <wp:simplePos x="0" y="0"/>
            <wp:positionH relativeFrom="column">
              <wp:posOffset>106984</wp:posOffset>
            </wp:positionH>
            <wp:positionV relativeFrom="paragraph">
              <wp:posOffset>226060</wp:posOffset>
            </wp:positionV>
            <wp:extent cx="5152390" cy="1041400"/>
            <wp:effectExtent l="0" t="0" r="0" b="0"/>
            <wp:wrapNone/>
            <wp:docPr id="2" name="Picture 2" descr="C:\Files\1-My Recent Documents\Pictures\Medicina\Balon intragastric\ballon%20gastrique%20dans%20esto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iles\1-My Recent Documents\Pictures\Medicina\Balon intragastric\ballon%20gastrique%20dans%20estom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486" w:rsidRPr="00997486">
        <w:t>Balon</w:t>
      </w:r>
      <w:r w:rsidR="00601D86">
        <w:t>ul</w:t>
      </w:r>
      <w:r w:rsidR="00997486" w:rsidRPr="00997486">
        <w:t xml:space="preserve"> intragastric cu aer</w:t>
      </w:r>
    </w:p>
    <w:p w:rsidR="00FE1412" w:rsidRDefault="00FE1412" w:rsidP="00FE14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1412">
        <w:rPr>
          <w:rFonts w:ascii="Arial" w:hAnsi="Arial" w:cs="Arial"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59C1FD09" wp14:editId="0215354A">
            <wp:simplePos x="0" y="0"/>
            <wp:positionH relativeFrom="column">
              <wp:posOffset>5215255</wp:posOffset>
            </wp:positionH>
            <wp:positionV relativeFrom="paragraph">
              <wp:posOffset>66675</wp:posOffset>
            </wp:positionV>
            <wp:extent cx="1176655" cy="887730"/>
            <wp:effectExtent l="0" t="0" r="0" b="0"/>
            <wp:wrapTight wrapText="bothSides">
              <wp:wrapPolygon edited="0">
                <wp:start x="0" y="0"/>
                <wp:lineTo x="0" y="21322"/>
                <wp:lineTo x="21332" y="21322"/>
                <wp:lineTo x="21332" y="0"/>
                <wp:lineTo x="0" y="0"/>
              </wp:wrapPolygon>
            </wp:wrapTight>
            <wp:docPr id="1" name="Picture 1" descr="C:\Files\1-My Recent Documents\Pictures\Medicina\Balon intragastric\thumbna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iles\1-My Recent Documents\Pictures\Medicina\Balon intragastric\thumbnail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665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412" w:rsidRDefault="00FE1412" w:rsidP="00FE14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D86" w:rsidRPr="00FE1412" w:rsidRDefault="00601D86" w:rsidP="00FE14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1D86" w:rsidRPr="00FE1412" w:rsidRDefault="00601D86" w:rsidP="00FE14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1412" w:rsidRPr="00FE1412" w:rsidRDefault="00FE1412" w:rsidP="00FE1412">
      <w:pPr>
        <w:spacing w:after="0"/>
        <w:jc w:val="both"/>
        <w:rPr>
          <w:rFonts w:ascii="Arial" w:hAnsi="Arial" w:cs="Arial"/>
          <w:sz w:val="24"/>
          <w:szCs w:val="24"/>
        </w:rPr>
        <w:sectPr w:rsidR="00FE1412" w:rsidRPr="00FE1412" w:rsidSect="00601D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97486" w:rsidRPr="00997486" w:rsidRDefault="00997486" w:rsidP="00601D86">
      <w:pPr>
        <w:pStyle w:val="Heading2"/>
      </w:pPr>
      <w:r w:rsidRPr="00997486">
        <w:lastRenderedPageBreak/>
        <w:t>Caracteristici: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Obezitatea este un pericol pentru sănătate şi calitatea vieţii pacientului. Implantul medical miniinvaziv reversibil şi confortabil </w:t>
      </w:r>
      <w:r w:rsidRPr="00FE1412">
        <w:rPr>
          <w:rFonts w:ascii="Arial" w:hAnsi="Arial" w:cs="Arial"/>
          <w:i/>
          <w:sz w:val="24"/>
          <w:szCs w:val="24"/>
        </w:rPr>
        <w:t>Heliosphere</w:t>
      </w:r>
      <w:r w:rsidRPr="00FE1412">
        <w:rPr>
          <w:rFonts w:ascii="Arial" w:hAnsi="Arial" w:cs="Arial"/>
          <w:i/>
          <w:sz w:val="24"/>
          <w:szCs w:val="24"/>
          <w:vertAlign w:val="superscript"/>
        </w:rPr>
        <w:t>®</w:t>
      </w:r>
      <w:r w:rsidRPr="00FE1412">
        <w:rPr>
          <w:rFonts w:ascii="Arial" w:hAnsi="Arial" w:cs="Arial"/>
          <w:i/>
          <w:sz w:val="24"/>
          <w:szCs w:val="24"/>
        </w:rPr>
        <w:t xml:space="preserve"> Bag</w:t>
      </w:r>
      <w:r>
        <w:rPr>
          <w:rFonts w:ascii="Arial" w:hAnsi="Arial" w:cs="Arial"/>
          <w:sz w:val="24"/>
          <w:szCs w:val="24"/>
        </w:rPr>
        <w:t xml:space="preserve"> reprezintă garanţia unui tratament eficient al obezităţii.</w:t>
      </w:r>
    </w:p>
    <w:p w:rsidR="00997486" w:rsidRDefault="00997486" w:rsidP="00601D86">
      <w:pPr>
        <w:pStyle w:val="Heading2"/>
      </w:pPr>
      <w:r>
        <w:t>Nechirurgical şi miniinvaziv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Sistemul se montează pe cale endoscopică în aproximativ 30 minute, fără să fie necesară internarea pacientului.</w:t>
      </w:r>
    </w:p>
    <w:p w:rsidR="00997486" w:rsidRDefault="00997486" w:rsidP="00601D86">
      <w:pPr>
        <w:pStyle w:val="Heading2"/>
      </w:pPr>
      <w:r>
        <w:t>Umflat cu aer</w:t>
      </w:r>
    </w:p>
    <w:p w:rsidR="00997486" w:rsidRDefault="00FE1412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Dispozitivul intragastric</w:t>
      </w:r>
      <w:r w:rsidR="00997486">
        <w:rPr>
          <w:rFonts w:ascii="Arial" w:hAnsi="Arial" w:cs="Arial"/>
          <w:sz w:val="24"/>
          <w:szCs w:val="24"/>
        </w:rPr>
        <w:t xml:space="preserve"> induce rareori greaţă, vărsături, sau durere după ce a fost montat.</w:t>
      </w:r>
    </w:p>
    <w:p w:rsidR="00997486" w:rsidRPr="00601D86" w:rsidRDefault="00997486" w:rsidP="00601D86">
      <w:pPr>
        <w:pStyle w:val="Heading2"/>
      </w:pPr>
      <w:r w:rsidRPr="00601D86">
        <w:t>Temporar</w:t>
      </w:r>
    </w:p>
    <w:p w:rsidR="00997486" w:rsidRDefault="00FE1412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Balonul</w:t>
      </w:r>
      <w:r w:rsidR="00997486">
        <w:rPr>
          <w:rFonts w:ascii="Arial" w:hAnsi="Arial" w:cs="Arial"/>
          <w:sz w:val="24"/>
          <w:szCs w:val="24"/>
        </w:rPr>
        <w:t xml:space="preserve"> este menţinut timp de 6 luni.</w:t>
      </w:r>
    </w:p>
    <w:p w:rsidR="00997486" w:rsidRPr="00601D86" w:rsidRDefault="00997486" w:rsidP="00601D86">
      <w:pPr>
        <w:pStyle w:val="Heading2"/>
      </w:pPr>
      <w:r w:rsidRPr="00601D86">
        <w:t>Etanş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Volumul iniţial al balonului u</w:t>
      </w:r>
      <w:r w:rsidR="00FE141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flat (</w:t>
      </w:r>
      <w:r w:rsidR="00FE1412">
        <w:rPr>
          <w:rFonts w:ascii="Arial" w:hAnsi="Arial" w:cs="Arial"/>
          <w:sz w:val="24"/>
          <w:szCs w:val="24"/>
        </w:rPr>
        <w:t xml:space="preserve">aproximativ </w:t>
      </w:r>
      <w:r>
        <w:rPr>
          <w:rFonts w:ascii="Arial" w:hAnsi="Arial" w:cs="Arial"/>
          <w:sz w:val="24"/>
          <w:szCs w:val="24"/>
        </w:rPr>
        <w:t xml:space="preserve">550 ml) </w:t>
      </w:r>
      <w:r w:rsidR="008562C7">
        <w:rPr>
          <w:rFonts w:ascii="Arial" w:hAnsi="Arial" w:cs="Arial"/>
          <w:sz w:val="24"/>
          <w:szCs w:val="24"/>
        </w:rPr>
        <w:t>se conservă</w:t>
      </w:r>
      <w:r>
        <w:rPr>
          <w:rFonts w:ascii="Arial" w:hAnsi="Arial" w:cs="Arial"/>
          <w:sz w:val="24"/>
          <w:szCs w:val="24"/>
        </w:rPr>
        <w:t xml:space="preserve"> în timp.</w:t>
      </w:r>
    </w:p>
    <w:p w:rsidR="00997486" w:rsidRPr="00601D86" w:rsidRDefault="00997486" w:rsidP="00601D86">
      <w:pPr>
        <w:pStyle w:val="Heading2"/>
      </w:pPr>
      <w:r w:rsidRPr="00601D86">
        <w:t>Montare uşoară</w:t>
      </w:r>
    </w:p>
    <w:p w:rsidR="00997486" w:rsidRDefault="00FE1412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Tehnica</w:t>
      </w:r>
      <w:r w:rsidR="00997486">
        <w:rPr>
          <w:rFonts w:ascii="Arial" w:hAnsi="Arial" w:cs="Arial"/>
          <w:sz w:val="24"/>
          <w:szCs w:val="24"/>
        </w:rPr>
        <w:t xml:space="preserve"> este certificat</w:t>
      </w:r>
      <w:r>
        <w:rPr>
          <w:rFonts w:ascii="Arial" w:hAnsi="Arial" w:cs="Arial"/>
          <w:sz w:val="24"/>
          <w:szCs w:val="24"/>
        </w:rPr>
        <w:t>ă</w:t>
      </w:r>
      <w:r w:rsidR="00997486">
        <w:rPr>
          <w:rFonts w:ascii="Arial" w:hAnsi="Arial" w:cs="Arial"/>
          <w:sz w:val="24"/>
          <w:szCs w:val="24"/>
        </w:rPr>
        <w:t xml:space="preserve"> şi patentat</w:t>
      </w:r>
      <w:r>
        <w:rPr>
          <w:rFonts w:ascii="Arial" w:hAnsi="Arial" w:cs="Arial"/>
          <w:sz w:val="24"/>
          <w:szCs w:val="24"/>
        </w:rPr>
        <w:t>ă</w:t>
      </w:r>
      <w:r w:rsidR="00997486">
        <w:rPr>
          <w:rFonts w:ascii="Arial" w:hAnsi="Arial" w:cs="Arial"/>
          <w:sz w:val="24"/>
          <w:szCs w:val="24"/>
        </w:rPr>
        <w:t>.</w:t>
      </w:r>
    </w:p>
    <w:p w:rsidR="00997486" w:rsidRPr="00601D86" w:rsidRDefault="00997486" w:rsidP="00601D86">
      <w:pPr>
        <w:pStyle w:val="Heading2"/>
      </w:pPr>
      <w:r w:rsidRPr="00601D86">
        <w:t>Extracţie uşoară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caz de demontare, </w:t>
      </w:r>
      <w:r w:rsidR="008562C7">
        <w:rPr>
          <w:rFonts w:ascii="Arial" w:hAnsi="Arial" w:cs="Arial"/>
          <w:sz w:val="24"/>
          <w:szCs w:val="24"/>
        </w:rPr>
        <w:t>balonul</w:t>
      </w:r>
      <w:r>
        <w:rPr>
          <w:rFonts w:ascii="Arial" w:hAnsi="Arial" w:cs="Arial"/>
          <w:sz w:val="24"/>
          <w:szCs w:val="24"/>
        </w:rPr>
        <w:t xml:space="preserve"> necesită o forţă redusă de extragere şi </w:t>
      </w:r>
      <w:r w:rsidR="008562C7">
        <w:rPr>
          <w:rFonts w:ascii="Arial" w:hAnsi="Arial" w:cs="Arial"/>
          <w:sz w:val="24"/>
          <w:szCs w:val="24"/>
        </w:rPr>
        <w:t xml:space="preserve">produce </w:t>
      </w:r>
      <w:r>
        <w:rPr>
          <w:rFonts w:ascii="Arial" w:hAnsi="Arial" w:cs="Arial"/>
          <w:sz w:val="24"/>
          <w:szCs w:val="24"/>
        </w:rPr>
        <w:t>traumatisme minime ale pereţilor stomacului şi esofagului.</w:t>
      </w:r>
    </w:p>
    <w:p w:rsidR="00997486" w:rsidRPr="00601D86" w:rsidRDefault="00997486" w:rsidP="00601D86">
      <w:pPr>
        <w:pStyle w:val="Heading2"/>
      </w:pPr>
      <w:r w:rsidRPr="00601D86">
        <w:t>Indicaţii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Pentru reuşita tratamentului de scădere ponderală este importantă respectarea regimului dietetic şi recomandărilor medicale.</w:t>
      </w:r>
    </w:p>
    <w:p w:rsidR="00997486" w:rsidRPr="00601D86" w:rsidRDefault="00997486" w:rsidP="00601D86">
      <w:pPr>
        <w:pStyle w:val="Heading2"/>
      </w:pPr>
      <w:r w:rsidRPr="00601D86">
        <w:t>Indicaţiile balonului intragastric de slăbit sunt reprezentante de:</w:t>
      </w:r>
    </w:p>
    <w:p w:rsidR="00997486" w:rsidRPr="00601D86" w:rsidRDefault="00997486" w:rsidP="00601D8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1D86">
        <w:rPr>
          <w:rFonts w:ascii="Arial" w:hAnsi="Arial" w:cs="Arial"/>
          <w:sz w:val="24"/>
          <w:szCs w:val="24"/>
        </w:rPr>
        <w:t>Obezitatea severă (cu IMC 30-40), asociată cu riscuri medicale importante.</w:t>
      </w:r>
    </w:p>
    <w:p w:rsidR="00FE1412" w:rsidRDefault="00FE1412" w:rsidP="00FE14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7486" w:rsidRPr="00601D86" w:rsidRDefault="00997486" w:rsidP="00601D8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1D86">
        <w:rPr>
          <w:rFonts w:ascii="Arial" w:hAnsi="Arial" w:cs="Arial"/>
          <w:sz w:val="24"/>
          <w:szCs w:val="24"/>
        </w:rPr>
        <w:t>Diabetul zaharat tip II asociat cu obezitate care este dificil de echilibrat dacă bolnavul nu reuşeşte să slăbească.</w:t>
      </w:r>
    </w:p>
    <w:p w:rsidR="00997486" w:rsidRPr="00601D86" w:rsidRDefault="00997486" w:rsidP="00601D8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1D86">
        <w:rPr>
          <w:rFonts w:ascii="Arial" w:hAnsi="Arial" w:cs="Arial"/>
          <w:sz w:val="24"/>
          <w:szCs w:val="24"/>
        </w:rPr>
        <w:t xml:space="preserve">Obezitatea monstruoasă (IMC &gt; 35-40) la care tratamentul chirurgical este contraindicat datorită riscurilor anestezice şi operatorii sau în caz de refuz al pacientului. Montarea balonului </w:t>
      </w:r>
      <w:r w:rsidRPr="00601D86">
        <w:rPr>
          <w:rFonts w:ascii="Arial" w:hAnsi="Arial" w:cs="Arial"/>
          <w:sz w:val="24"/>
          <w:szCs w:val="24"/>
        </w:rPr>
        <w:t xml:space="preserve">intragastric </w:t>
      </w:r>
      <w:r w:rsidRPr="00601D86">
        <w:rPr>
          <w:rFonts w:ascii="Arial" w:hAnsi="Arial" w:cs="Arial"/>
          <w:sz w:val="24"/>
          <w:szCs w:val="24"/>
        </w:rPr>
        <w:t>poate fi o primă etapă de tratament a obezităţii morbide, urmată apoi de tratamentul chirurgical.</w:t>
      </w:r>
    </w:p>
    <w:p w:rsidR="00997486" w:rsidRPr="00601D86" w:rsidRDefault="00997486" w:rsidP="00601D86">
      <w:pPr>
        <w:pStyle w:val="Heading2"/>
      </w:pPr>
      <w:r w:rsidRPr="00601D86">
        <w:t>Rezultate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dată umflat/montat, balonul reduce volumul gastric şi stimulează mecanoreceptorii localizaţi în porţiunea superioară a stomacului, inducând</w:t>
      </w:r>
      <w:r w:rsidR="008562C7">
        <w:rPr>
          <w:rFonts w:ascii="Arial" w:hAnsi="Arial" w:cs="Arial"/>
          <w:sz w:val="24"/>
          <w:szCs w:val="24"/>
        </w:rPr>
        <w:t xml:space="preserve"> şi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întreţinând o senzaţie rapidă de saţietate, astfel încât pacientul pierde în greutate.</w:t>
      </w:r>
    </w:p>
    <w:p w:rsidR="00997486" w:rsidRPr="00601D86" w:rsidRDefault="00997486" w:rsidP="00601D86">
      <w:pPr>
        <w:pStyle w:val="Heading2"/>
      </w:pPr>
      <w:r w:rsidRPr="00601D86">
        <w:t>Eficacitate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Scăderea ponderală poate fi de până la 24 kg.</w:t>
      </w:r>
    </w:p>
    <w:p w:rsidR="00997486" w:rsidRPr="00601D86" w:rsidRDefault="00997486" w:rsidP="00601D86">
      <w:pPr>
        <w:pStyle w:val="Heading2"/>
      </w:pPr>
      <w:r w:rsidRPr="00601D86">
        <w:t>Toleranţă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Senzaţia de greaţă şi vărsăturile după montarea balonului pot persista cel mult 3 zile.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Doar în 1% din cazuri este necesară extragerea balonului înainte de vreme.</w:t>
      </w:r>
    </w:p>
    <w:p w:rsidR="00997486" w:rsidRPr="00601D86" w:rsidRDefault="00997486" w:rsidP="00601D86">
      <w:pPr>
        <w:pStyle w:val="Heading2"/>
      </w:pPr>
      <w:r w:rsidRPr="00601D86">
        <w:t>Comportament alimentar</w:t>
      </w:r>
    </w:p>
    <w:p w:rsidR="00997486" w:rsidRDefault="00997486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Balonul intragastric determină modificarea comportamentului alimentar al subiectului</w:t>
      </w:r>
      <w:r w:rsidR="00601D86">
        <w:rPr>
          <w:rFonts w:ascii="Arial" w:hAnsi="Arial" w:cs="Arial"/>
          <w:sz w:val="24"/>
          <w:szCs w:val="24"/>
        </w:rPr>
        <w:t xml:space="preserve"> care va mânca în cantităţi rezonabile.</w:t>
      </w:r>
    </w:p>
    <w:p w:rsidR="00FE1412" w:rsidRPr="00FE1412" w:rsidRDefault="00FE1412" w:rsidP="00FE1412">
      <w:pPr>
        <w:pStyle w:val="Heading2"/>
      </w:pPr>
      <w:r w:rsidRPr="00FE1412">
        <w:t>Unde</w:t>
      </w:r>
    </w:p>
    <w:p w:rsidR="00FE1412" w:rsidRPr="00997486" w:rsidRDefault="00FE1412" w:rsidP="0099748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Centrul Medical Ţuculanu; </w:t>
      </w:r>
      <w:r w:rsidRPr="00FE1412">
        <w:rPr>
          <w:rFonts w:ascii="Arial" w:hAnsi="Arial" w:cs="Arial"/>
          <w:color w:val="FF0000"/>
          <w:sz w:val="24"/>
          <w:szCs w:val="24"/>
        </w:rPr>
        <w:t>Tel. 0735.165.500</w:t>
      </w:r>
    </w:p>
    <w:sectPr w:rsidR="00FE1412" w:rsidRPr="00997486" w:rsidSect="00601D86">
      <w:type w:val="continuous"/>
      <w:pgSz w:w="11906" w:h="16838"/>
      <w:pgMar w:top="720" w:right="720" w:bottom="720" w:left="720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748B0"/>
    <w:multiLevelType w:val="hybridMultilevel"/>
    <w:tmpl w:val="8014E95E"/>
    <w:lvl w:ilvl="0" w:tplc="9D80B9A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86"/>
    <w:rsid w:val="000072CD"/>
    <w:rsid w:val="00033CA7"/>
    <w:rsid w:val="00033F0E"/>
    <w:rsid w:val="000415F6"/>
    <w:rsid w:val="00045AF5"/>
    <w:rsid w:val="00045F42"/>
    <w:rsid w:val="00056BC5"/>
    <w:rsid w:val="00056D78"/>
    <w:rsid w:val="00067816"/>
    <w:rsid w:val="00067933"/>
    <w:rsid w:val="000727F7"/>
    <w:rsid w:val="00073B4B"/>
    <w:rsid w:val="00081852"/>
    <w:rsid w:val="000A1171"/>
    <w:rsid w:val="000A35E2"/>
    <w:rsid w:val="000A658B"/>
    <w:rsid w:val="000B228D"/>
    <w:rsid w:val="000C5C6B"/>
    <w:rsid w:val="000E74DA"/>
    <w:rsid w:val="000F1412"/>
    <w:rsid w:val="000F3521"/>
    <w:rsid w:val="000F3E4B"/>
    <w:rsid w:val="000F4CEB"/>
    <w:rsid w:val="001011AF"/>
    <w:rsid w:val="00107566"/>
    <w:rsid w:val="00111206"/>
    <w:rsid w:val="00114A32"/>
    <w:rsid w:val="00114D0A"/>
    <w:rsid w:val="0015250B"/>
    <w:rsid w:val="001669C5"/>
    <w:rsid w:val="00181944"/>
    <w:rsid w:val="001A2489"/>
    <w:rsid w:val="001A731B"/>
    <w:rsid w:val="001F78DF"/>
    <w:rsid w:val="002037D9"/>
    <w:rsid w:val="002137FF"/>
    <w:rsid w:val="002237BE"/>
    <w:rsid w:val="00225CC9"/>
    <w:rsid w:val="0023711E"/>
    <w:rsid w:val="00241817"/>
    <w:rsid w:val="002421D0"/>
    <w:rsid w:val="002510FC"/>
    <w:rsid w:val="00251A22"/>
    <w:rsid w:val="00271315"/>
    <w:rsid w:val="002717EE"/>
    <w:rsid w:val="00272478"/>
    <w:rsid w:val="002739F5"/>
    <w:rsid w:val="002752D5"/>
    <w:rsid w:val="00282424"/>
    <w:rsid w:val="002938A1"/>
    <w:rsid w:val="002A13F9"/>
    <w:rsid w:val="002A2392"/>
    <w:rsid w:val="002B434D"/>
    <w:rsid w:val="002B54D7"/>
    <w:rsid w:val="002C5934"/>
    <w:rsid w:val="002D0B06"/>
    <w:rsid w:val="002D32BD"/>
    <w:rsid w:val="002E15E4"/>
    <w:rsid w:val="002E5143"/>
    <w:rsid w:val="002E570F"/>
    <w:rsid w:val="002E6430"/>
    <w:rsid w:val="002F11D9"/>
    <w:rsid w:val="002F4503"/>
    <w:rsid w:val="002F6299"/>
    <w:rsid w:val="00301AEB"/>
    <w:rsid w:val="00320C29"/>
    <w:rsid w:val="00321BAD"/>
    <w:rsid w:val="00352560"/>
    <w:rsid w:val="00356C2C"/>
    <w:rsid w:val="00357AF1"/>
    <w:rsid w:val="00365EF7"/>
    <w:rsid w:val="00375CB5"/>
    <w:rsid w:val="00381D8A"/>
    <w:rsid w:val="00383197"/>
    <w:rsid w:val="003926F1"/>
    <w:rsid w:val="003964B5"/>
    <w:rsid w:val="003A4E0F"/>
    <w:rsid w:val="003B6134"/>
    <w:rsid w:val="003C0529"/>
    <w:rsid w:val="003C4318"/>
    <w:rsid w:val="003D62B0"/>
    <w:rsid w:val="003D6632"/>
    <w:rsid w:val="003E36A8"/>
    <w:rsid w:val="003E7420"/>
    <w:rsid w:val="003F3B1F"/>
    <w:rsid w:val="003F7FF9"/>
    <w:rsid w:val="00400EFB"/>
    <w:rsid w:val="00402E45"/>
    <w:rsid w:val="00404FC5"/>
    <w:rsid w:val="00405C8E"/>
    <w:rsid w:val="00412D8C"/>
    <w:rsid w:val="00417A9B"/>
    <w:rsid w:val="0042165C"/>
    <w:rsid w:val="00424CC4"/>
    <w:rsid w:val="00424F68"/>
    <w:rsid w:val="00430B4E"/>
    <w:rsid w:val="004331BC"/>
    <w:rsid w:val="00436DDD"/>
    <w:rsid w:val="00437573"/>
    <w:rsid w:val="00440CF8"/>
    <w:rsid w:val="00442CE7"/>
    <w:rsid w:val="0045231B"/>
    <w:rsid w:val="0046030E"/>
    <w:rsid w:val="004607B5"/>
    <w:rsid w:val="00472A98"/>
    <w:rsid w:val="00491310"/>
    <w:rsid w:val="004913F1"/>
    <w:rsid w:val="004A0AFE"/>
    <w:rsid w:val="004A170B"/>
    <w:rsid w:val="004B5627"/>
    <w:rsid w:val="004B6426"/>
    <w:rsid w:val="004B659F"/>
    <w:rsid w:val="004C71E6"/>
    <w:rsid w:val="004E580E"/>
    <w:rsid w:val="004E608B"/>
    <w:rsid w:val="004F19E7"/>
    <w:rsid w:val="00504CFA"/>
    <w:rsid w:val="00511702"/>
    <w:rsid w:val="00525DE9"/>
    <w:rsid w:val="0055640E"/>
    <w:rsid w:val="00562A0E"/>
    <w:rsid w:val="00565FBF"/>
    <w:rsid w:val="005817AE"/>
    <w:rsid w:val="00582DB6"/>
    <w:rsid w:val="00586425"/>
    <w:rsid w:val="00586904"/>
    <w:rsid w:val="00593864"/>
    <w:rsid w:val="005A460E"/>
    <w:rsid w:val="005B5EE5"/>
    <w:rsid w:val="005B6B3F"/>
    <w:rsid w:val="005C202F"/>
    <w:rsid w:val="005C51D9"/>
    <w:rsid w:val="005D5546"/>
    <w:rsid w:val="005E051D"/>
    <w:rsid w:val="005E3D17"/>
    <w:rsid w:val="005F02D8"/>
    <w:rsid w:val="005F40AD"/>
    <w:rsid w:val="00601D86"/>
    <w:rsid w:val="00603696"/>
    <w:rsid w:val="00611BC3"/>
    <w:rsid w:val="00626D5A"/>
    <w:rsid w:val="00630F8C"/>
    <w:rsid w:val="006478B2"/>
    <w:rsid w:val="00654AFF"/>
    <w:rsid w:val="00656273"/>
    <w:rsid w:val="00663EE2"/>
    <w:rsid w:val="00671A40"/>
    <w:rsid w:val="00674582"/>
    <w:rsid w:val="006771C5"/>
    <w:rsid w:val="00682BB7"/>
    <w:rsid w:val="006860A6"/>
    <w:rsid w:val="0069142C"/>
    <w:rsid w:val="006A5A4C"/>
    <w:rsid w:val="006B479D"/>
    <w:rsid w:val="006D2037"/>
    <w:rsid w:val="006D3DC2"/>
    <w:rsid w:val="006E6999"/>
    <w:rsid w:val="00704EF6"/>
    <w:rsid w:val="00715B4F"/>
    <w:rsid w:val="00721B7A"/>
    <w:rsid w:val="0072556C"/>
    <w:rsid w:val="00735E79"/>
    <w:rsid w:val="0073655B"/>
    <w:rsid w:val="007526AA"/>
    <w:rsid w:val="00753CB0"/>
    <w:rsid w:val="00766B06"/>
    <w:rsid w:val="00772CBB"/>
    <w:rsid w:val="0077592C"/>
    <w:rsid w:val="007777DC"/>
    <w:rsid w:val="00777B62"/>
    <w:rsid w:val="007876A9"/>
    <w:rsid w:val="007905ED"/>
    <w:rsid w:val="007941C9"/>
    <w:rsid w:val="0079421B"/>
    <w:rsid w:val="00796A21"/>
    <w:rsid w:val="007A3474"/>
    <w:rsid w:val="007A411D"/>
    <w:rsid w:val="007B288A"/>
    <w:rsid w:val="007B36EF"/>
    <w:rsid w:val="007B58F6"/>
    <w:rsid w:val="007B7BDA"/>
    <w:rsid w:val="007D036A"/>
    <w:rsid w:val="007E1C2F"/>
    <w:rsid w:val="007E48AB"/>
    <w:rsid w:val="007E7667"/>
    <w:rsid w:val="007F0673"/>
    <w:rsid w:val="007F1469"/>
    <w:rsid w:val="007F3C6B"/>
    <w:rsid w:val="0080502F"/>
    <w:rsid w:val="0080669E"/>
    <w:rsid w:val="0082123E"/>
    <w:rsid w:val="008228BF"/>
    <w:rsid w:val="0082422D"/>
    <w:rsid w:val="00826A89"/>
    <w:rsid w:val="008321C5"/>
    <w:rsid w:val="00834BAD"/>
    <w:rsid w:val="00836798"/>
    <w:rsid w:val="00851514"/>
    <w:rsid w:val="008540A5"/>
    <w:rsid w:val="00855E2D"/>
    <w:rsid w:val="008562C7"/>
    <w:rsid w:val="008638A7"/>
    <w:rsid w:val="00871CEC"/>
    <w:rsid w:val="0087227F"/>
    <w:rsid w:val="008725F9"/>
    <w:rsid w:val="00873380"/>
    <w:rsid w:val="00884697"/>
    <w:rsid w:val="00886EB4"/>
    <w:rsid w:val="00887F32"/>
    <w:rsid w:val="008A6A6C"/>
    <w:rsid w:val="008B4D00"/>
    <w:rsid w:val="008C0E3C"/>
    <w:rsid w:val="008C12DD"/>
    <w:rsid w:val="008C1C75"/>
    <w:rsid w:val="008C1E22"/>
    <w:rsid w:val="008C467C"/>
    <w:rsid w:val="008D01E5"/>
    <w:rsid w:val="008D04F6"/>
    <w:rsid w:val="008D2E6D"/>
    <w:rsid w:val="008D3B7F"/>
    <w:rsid w:val="008D69BA"/>
    <w:rsid w:val="008F7EA0"/>
    <w:rsid w:val="009016C7"/>
    <w:rsid w:val="00920964"/>
    <w:rsid w:val="00931918"/>
    <w:rsid w:val="009358C9"/>
    <w:rsid w:val="00937BC1"/>
    <w:rsid w:val="00952194"/>
    <w:rsid w:val="009527A0"/>
    <w:rsid w:val="00962759"/>
    <w:rsid w:val="009656ED"/>
    <w:rsid w:val="00977C92"/>
    <w:rsid w:val="00982A72"/>
    <w:rsid w:val="009955A5"/>
    <w:rsid w:val="00997486"/>
    <w:rsid w:val="009A5EAB"/>
    <w:rsid w:val="009B6BF1"/>
    <w:rsid w:val="009C33D6"/>
    <w:rsid w:val="009C56A5"/>
    <w:rsid w:val="009D1DCB"/>
    <w:rsid w:val="009D3988"/>
    <w:rsid w:val="009E3CC6"/>
    <w:rsid w:val="00A02A89"/>
    <w:rsid w:val="00A209AE"/>
    <w:rsid w:val="00A319E2"/>
    <w:rsid w:val="00A35B11"/>
    <w:rsid w:val="00A6173B"/>
    <w:rsid w:val="00A74F9B"/>
    <w:rsid w:val="00A757BC"/>
    <w:rsid w:val="00A856B0"/>
    <w:rsid w:val="00A87CD4"/>
    <w:rsid w:val="00AA4ADF"/>
    <w:rsid w:val="00AA7E3F"/>
    <w:rsid w:val="00AB39FA"/>
    <w:rsid w:val="00AB7063"/>
    <w:rsid w:val="00AD272E"/>
    <w:rsid w:val="00AE38E1"/>
    <w:rsid w:val="00AE71B1"/>
    <w:rsid w:val="00AF5C7E"/>
    <w:rsid w:val="00AF740D"/>
    <w:rsid w:val="00B032B8"/>
    <w:rsid w:val="00B061E1"/>
    <w:rsid w:val="00B11886"/>
    <w:rsid w:val="00B132ED"/>
    <w:rsid w:val="00B13A87"/>
    <w:rsid w:val="00B20198"/>
    <w:rsid w:val="00B242D1"/>
    <w:rsid w:val="00B24E36"/>
    <w:rsid w:val="00B26174"/>
    <w:rsid w:val="00B37525"/>
    <w:rsid w:val="00B4603B"/>
    <w:rsid w:val="00B470DB"/>
    <w:rsid w:val="00B51346"/>
    <w:rsid w:val="00B523F3"/>
    <w:rsid w:val="00B55206"/>
    <w:rsid w:val="00B66CD8"/>
    <w:rsid w:val="00B77491"/>
    <w:rsid w:val="00B92AB3"/>
    <w:rsid w:val="00BA5FC5"/>
    <w:rsid w:val="00BA751F"/>
    <w:rsid w:val="00BB4251"/>
    <w:rsid w:val="00BB68AB"/>
    <w:rsid w:val="00BB73DE"/>
    <w:rsid w:val="00BD4DD7"/>
    <w:rsid w:val="00BE467E"/>
    <w:rsid w:val="00C01227"/>
    <w:rsid w:val="00C0612C"/>
    <w:rsid w:val="00C15C68"/>
    <w:rsid w:val="00C206CE"/>
    <w:rsid w:val="00C25E5D"/>
    <w:rsid w:val="00C30674"/>
    <w:rsid w:val="00C326C7"/>
    <w:rsid w:val="00C34083"/>
    <w:rsid w:val="00C35C59"/>
    <w:rsid w:val="00C50392"/>
    <w:rsid w:val="00C513F5"/>
    <w:rsid w:val="00C6401D"/>
    <w:rsid w:val="00C72C78"/>
    <w:rsid w:val="00C868F1"/>
    <w:rsid w:val="00C96C2A"/>
    <w:rsid w:val="00CA31CB"/>
    <w:rsid w:val="00CA397D"/>
    <w:rsid w:val="00CE57B3"/>
    <w:rsid w:val="00CE5C0C"/>
    <w:rsid w:val="00D04513"/>
    <w:rsid w:val="00D05591"/>
    <w:rsid w:val="00D15917"/>
    <w:rsid w:val="00D15D0F"/>
    <w:rsid w:val="00D167A0"/>
    <w:rsid w:val="00D208C5"/>
    <w:rsid w:val="00D256CA"/>
    <w:rsid w:val="00D36C0F"/>
    <w:rsid w:val="00D3782B"/>
    <w:rsid w:val="00D77028"/>
    <w:rsid w:val="00D81507"/>
    <w:rsid w:val="00D8184B"/>
    <w:rsid w:val="00DA48D3"/>
    <w:rsid w:val="00DB0E30"/>
    <w:rsid w:val="00DC524D"/>
    <w:rsid w:val="00DD302D"/>
    <w:rsid w:val="00DE0A58"/>
    <w:rsid w:val="00DE3ECE"/>
    <w:rsid w:val="00DE6869"/>
    <w:rsid w:val="00DF4400"/>
    <w:rsid w:val="00E11AB0"/>
    <w:rsid w:val="00E128DE"/>
    <w:rsid w:val="00E2149A"/>
    <w:rsid w:val="00E218B0"/>
    <w:rsid w:val="00E261D5"/>
    <w:rsid w:val="00E375B1"/>
    <w:rsid w:val="00E445BC"/>
    <w:rsid w:val="00E47E01"/>
    <w:rsid w:val="00E52C15"/>
    <w:rsid w:val="00E55CDE"/>
    <w:rsid w:val="00E57B84"/>
    <w:rsid w:val="00E67199"/>
    <w:rsid w:val="00E72043"/>
    <w:rsid w:val="00E739B4"/>
    <w:rsid w:val="00E96B9E"/>
    <w:rsid w:val="00EA02FD"/>
    <w:rsid w:val="00EA630C"/>
    <w:rsid w:val="00EB66C0"/>
    <w:rsid w:val="00EC58E2"/>
    <w:rsid w:val="00F004AD"/>
    <w:rsid w:val="00F0179F"/>
    <w:rsid w:val="00F10B79"/>
    <w:rsid w:val="00F13444"/>
    <w:rsid w:val="00F14CB4"/>
    <w:rsid w:val="00F225C3"/>
    <w:rsid w:val="00F32E3A"/>
    <w:rsid w:val="00F33AD1"/>
    <w:rsid w:val="00F407EB"/>
    <w:rsid w:val="00F41F35"/>
    <w:rsid w:val="00F42920"/>
    <w:rsid w:val="00F60868"/>
    <w:rsid w:val="00F66B82"/>
    <w:rsid w:val="00F677AA"/>
    <w:rsid w:val="00F67BAD"/>
    <w:rsid w:val="00F7124D"/>
    <w:rsid w:val="00F74F5A"/>
    <w:rsid w:val="00F925A9"/>
    <w:rsid w:val="00F939E2"/>
    <w:rsid w:val="00F93AB7"/>
    <w:rsid w:val="00FA32EF"/>
    <w:rsid w:val="00FC43C1"/>
    <w:rsid w:val="00FD5B89"/>
    <w:rsid w:val="00FE1412"/>
    <w:rsid w:val="00FF02A4"/>
    <w:rsid w:val="00FF4793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01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01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01D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D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01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01D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330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Balonul intragastric cu aer</vt:lpstr>
      <vt:lpstr>    </vt:lpstr>
      <vt:lpstr>    Caracteristici:</vt:lpstr>
      <vt:lpstr>    Nechirurgical şi miniinvaziv</vt:lpstr>
      <vt:lpstr>    Umflat cu aer</vt:lpstr>
      <vt:lpstr>    Temporar</vt:lpstr>
      <vt:lpstr>    Etanş</vt:lpstr>
      <vt:lpstr>    Montare uşoară</vt:lpstr>
      <vt:lpstr>    Extracţie uşoară</vt:lpstr>
      <vt:lpstr>    Indicaţii</vt:lpstr>
      <vt:lpstr>    Indicaţiile balonului intragastric de slăbit sunt reprezentante de:</vt:lpstr>
      <vt:lpstr>    Rezultate</vt:lpstr>
      <vt:lpstr>    Eficacitate</vt:lpstr>
      <vt:lpstr>    Toleranţă</vt:lpstr>
      <vt:lpstr>    Comportament alimentar</vt:lpstr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XY</cp:lastModifiedBy>
  <cp:revision>5</cp:revision>
  <cp:lastPrinted>2012-02-16T20:37:00Z</cp:lastPrinted>
  <dcterms:created xsi:type="dcterms:W3CDTF">2012-02-16T18:36:00Z</dcterms:created>
  <dcterms:modified xsi:type="dcterms:W3CDTF">2012-02-16T20:44:00Z</dcterms:modified>
</cp:coreProperties>
</file>