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C34E" w14:textId="592EB47E" w:rsidR="00FC7A86" w:rsidRPr="00FC7A86" w:rsidRDefault="00FC7A86" w:rsidP="00FC7A86">
      <w:pPr>
        <w:spacing w:after="0" w:line="240" w:lineRule="auto"/>
        <w:rPr>
          <w:rFonts w:ascii="Times New Roman" w:eastAsia="Times New Roman" w:hAnsi="Times New Roman" w:cs="Times New Roman"/>
          <w:sz w:val="24"/>
          <w:szCs w:val="24"/>
        </w:rPr>
      </w:pPr>
      <w:r w:rsidRPr="00FC7A86">
        <w:rPr>
          <w:rFonts w:ascii="Poppins" w:eastAsia="Times New Roman" w:hAnsi="Poppins" w:cs="Poppins"/>
          <w:noProof/>
          <w:color w:val="111111"/>
          <w:sz w:val="24"/>
          <w:szCs w:val="24"/>
        </w:rPr>
        <w:drawing>
          <wp:inline distT="0" distB="0" distL="0" distR="0" wp14:anchorId="166063A1" wp14:editId="3A29304C">
            <wp:extent cx="2038350" cy="406400"/>
            <wp:effectExtent l="0" t="0" r="0" b="0"/>
            <wp:docPr id="2"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406400"/>
                    </a:xfrm>
                    <a:prstGeom prst="rect">
                      <a:avLst/>
                    </a:prstGeom>
                    <a:noFill/>
                    <a:ln>
                      <a:noFill/>
                    </a:ln>
                  </pic:spPr>
                </pic:pic>
              </a:graphicData>
            </a:graphic>
          </wp:inline>
        </w:drawing>
      </w:r>
    </w:p>
    <w:p w14:paraId="71559B8A" w14:textId="77777777" w:rsidR="00FC7A86" w:rsidRPr="00FC7A86" w:rsidRDefault="00FC7A86" w:rsidP="00FC7A86">
      <w:pPr>
        <w:spacing w:after="0" w:line="240" w:lineRule="auto"/>
        <w:outlineLvl w:val="1"/>
        <w:rPr>
          <w:rFonts w:ascii="Poppins" w:eastAsia="Times New Roman" w:hAnsi="Poppins" w:cs="Poppins"/>
          <w:color w:val="FF8C00"/>
          <w:sz w:val="44"/>
          <w:szCs w:val="44"/>
        </w:rPr>
      </w:pPr>
      <w:r w:rsidRPr="00FC7A86">
        <w:rPr>
          <w:rFonts w:ascii="Poppins" w:eastAsia="Times New Roman" w:hAnsi="Poppins" w:cs="Poppins"/>
          <w:color w:val="FF8C00"/>
          <w:sz w:val="44"/>
          <w:szCs w:val="44"/>
        </w:rPr>
        <w:t>Despre Noi</w:t>
      </w:r>
    </w:p>
    <w:p w14:paraId="7C3D0294" w14:textId="77777777" w:rsidR="00FC7A86" w:rsidRPr="00FC7A86" w:rsidRDefault="00FC7A86" w:rsidP="00FC7A86">
      <w:pPr>
        <w:spacing w:after="0" w:line="240" w:lineRule="auto"/>
        <w:rPr>
          <w:rFonts w:ascii="Poppins" w:eastAsia="Times New Roman" w:hAnsi="Poppins" w:cs="Poppins"/>
          <w:color w:val="111111"/>
          <w:sz w:val="24"/>
          <w:szCs w:val="24"/>
        </w:rPr>
      </w:pPr>
      <w:r w:rsidRPr="00FC7A86">
        <w:rPr>
          <w:rFonts w:ascii="Poppins" w:eastAsia="Times New Roman" w:hAnsi="Poppins" w:cs="Poppins"/>
          <w:color w:val="111111"/>
          <w:sz w:val="24"/>
          <w:szCs w:val="24"/>
        </w:rPr>
        <w:t>INTAC NISTA SRL este o firmă de consultanţă cu capital privat romanesc, al carei scop principal este prestarea de activități de consultanţă în achiziții publice atât pentru autoritățile contractante - instituțiile bugetare cât și pentru operatorii economici - societăți comerciale, sub forma urmatoarelor servicii:</w:t>
      </w:r>
    </w:p>
    <w:p w14:paraId="4B98D4F0" w14:textId="77777777" w:rsidR="00FC7A86" w:rsidRPr="00FC7A86" w:rsidRDefault="00FC7A86" w:rsidP="00FC7A86">
      <w:pPr>
        <w:numPr>
          <w:ilvl w:val="0"/>
          <w:numId w:val="2"/>
        </w:numPr>
        <w:spacing w:after="0" w:line="240" w:lineRule="auto"/>
        <w:ind w:left="945"/>
        <w:rPr>
          <w:rFonts w:ascii="Poppins" w:eastAsia="Times New Roman" w:hAnsi="Poppins" w:cs="Poppins"/>
          <w:sz w:val="24"/>
          <w:szCs w:val="24"/>
        </w:rPr>
      </w:pPr>
      <w:r w:rsidRPr="00FC7A86">
        <w:rPr>
          <w:rFonts w:ascii="Poppins" w:eastAsia="Times New Roman" w:hAnsi="Poppins" w:cs="Poppins"/>
          <w:sz w:val="24"/>
          <w:szCs w:val="24"/>
        </w:rPr>
        <w:t>Servicii de consultanță în domeniul achizițiilor publice pentru autorități /entități contractante - Instituții bugetare</w:t>
      </w:r>
    </w:p>
    <w:p w14:paraId="412DC7B1" w14:textId="77777777" w:rsidR="00FC7A86" w:rsidRPr="00FC7A86" w:rsidRDefault="00FC7A86" w:rsidP="00FC7A86">
      <w:pPr>
        <w:numPr>
          <w:ilvl w:val="0"/>
          <w:numId w:val="2"/>
        </w:numPr>
        <w:spacing w:after="0" w:line="240" w:lineRule="auto"/>
        <w:ind w:left="945"/>
        <w:rPr>
          <w:rFonts w:ascii="Poppins" w:eastAsia="Times New Roman" w:hAnsi="Poppins" w:cs="Poppins"/>
          <w:sz w:val="24"/>
          <w:szCs w:val="24"/>
        </w:rPr>
      </w:pPr>
      <w:r w:rsidRPr="00FC7A86">
        <w:rPr>
          <w:rFonts w:ascii="Poppins" w:eastAsia="Times New Roman" w:hAnsi="Poppins" w:cs="Poppins"/>
          <w:sz w:val="24"/>
          <w:szCs w:val="24"/>
        </w:rPr>
        <w:t>Servicii de consultanță în domeniul achizițiilor publice pentru Operatorii Economici - Societăți Comerciale care participă la proceduri de atribuire organizate prin S.E.A.P.</w:t>
      </w:r>
    </w:p>
    <w:p w14:paraId="1452963D" w14:textId="77777777" w:rsidR="00FC7A86" w:rsidRPr="00FC7A86" w:rsidRDefault="00FC7A86" w:rsidP="00FC7A86">
      <w:pPr>
        <w:spacing w:after="0" w:line="240" w:lineRule="auto"/>
        <w:rPr>
          <w:rFonts w:ascii="Poppins" w:eastAsia="Times New Roman" w:hAnsi="Poppins" w:cs="Poppins"/>
          <w:color w:val="111111"/>
          <w:sz w:val="24"/>
          <w:szCs w:val="24"/>
        </w:rPr>
      </w:pPr>
      <w:r w:rsidRPr="00FC7A86">
        <w:rPr>
          <w:rFonts w:ascii="Poppins" w:eastAsia="Times New Roman" w:hAnsi="Poppins" w:cs="Poppins"/>
          <w:color w:val="111111"/>
          <w:sz w:val="24"/>
          <w:szCs w:val="24"/>
        </w:rPr>
        <w:t>Într-un mediu de afaceri dinamic precum cel prezent pe piața actuală românească și internațională, cu tendințe și oportunități ce apar în fiecare zi, precum și tinând cont de desele modificări legislative în domeniul achizițiilor publice, organizațiile au nevoie de sprijin real și permanent pentru organizarea/participarea la proceduri de achizitii publice.</w:t>
      </w:r>
    </w:p>
    <w:p w14:paraId="3F5A59D5" w14:textId="004ECD5B" w:rsidR="00FC7A86" w:rsidRPr="00FC7A86" w:rsidRDefault="00FC7A86" w:rsidP="00FC7A86">
      <w:pPr>
        <w:spacing w:after="0" w:line="240" w:lineRule="auto"/>
        <w:rPr>
          <w:rFonts w:ascii="Poppins" w:eastAsia="Times New Roman" w:hAnsi="Poppins" w:cs="Poppins"/>
          <w:sz w:val="24"/>
          <w:szCs w:val="24"/>
        </w:rPr>
      </w:pPr>
      <w:r w:rsidRPr="00FC7A86">
        <w:rPr>
          <w:rFonts w:ascii="Poppins" w:eastAsia="Times New Roman" w:hAnsi="Poppins" w:cs="Poppins"/>
          <w:noProof/>
          <w:sz w:val="24"/>
          <w:szCs w:val="24"/>
        </w:rPr>
        <w:drawing>
          <wp:inline distT="0" distB="0" distL="0" distR="0" wp14:anchorId="0ADAC413" wp14:editId="1CE4604B">
            <wp:extent cx="5969635" cy="31572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9635" cy="3157220"/>
                    </a:xfrm>
                    <a:prstGeom prst="rect">
                      <a:avLst/>
                    </a:prstGeom>
                    <a:noFill/>
                    <a:ln>
                      <a:noFill/>
                    </a:ln>
                  </pic:spPr>
                </pic:pic>
              </a:graphicData>
            </a:graphic>
          </wp:inline>
        </w:drawing>
      </w:r>
    </w:p>
    <w:p w14:paraId="67126F31" w14:textId="77777777" w:rsidR="00FC7A86" w:rsidRDefault="00FC7A86" w:rsidP="00FC7A86">
      <w:pPr>
        <w:spacing w:after="0" w:line="240" w:lineRule="auto"/>
        <w:outlineLvl w:val="1"/>
        <w:rPr>
          <w:rFonts w:ascii="Poppins" w:eastAsia="Times New Roman" w:hAnsi="Poppins" w:cs="Poppins"/>
          <w:color w:val="FF8C00"/>
          <w:sz w:val="48"/>
          <w:szCs w:val="48"/>
        </w:rPr>
      </w:pPr>
    </w:p>
    <w:p w14:paraId="4D975D72" w14:textId="77777777" w:rsidR="00FC7A86" w:rsidRDefault="00FC7A86" w:rsidP="00FC7A86">
      <w:pPr>
        <w:spacing w:after="0" w:line="240" w:lineRule="auto"/>
        <w:outlineLvl w:val="1"/>
        <w:rPr>
          <w:rFonts w:ascii="Poppins" w:eastAsia="Times New Roman" w:hAnsi="Poppins" w:cs="Poppins"/>
          <w:color w:val="FF8C00"/>
          <w:sz w:val="48"/>
          <w:szCs w:val="48"/>
        </w:rPr>
      </w:pPr>
    </w:p>
    <w:p w14:paraId="0B4EC76A" w14:textId="77777777" w:rsidR="0078434F" w:rsidRDefault="0078434F" w:rsidP="00FC7A86">
      <w:pPr>
        <w:spacing w:after="0" w:line="240" w:lineRule="auto"/>
        <w:outlineLvl w:val="1"/>
        <w:rPr>
          <w:rFonts w:ascii="Poppins" w:eastAsia="Times New Roman" w:hAnsi="Poppins" w:cs="Poppins"/>
          <w:color w:val="FF8C00"/>
          <w:sz w:val="44"/>
          <w:szCs w:val="44"/>
        </w:rPr>
      </w:pPr>
    </w:p>
    <w:p w14:paraId="083518A6" w14:textId="672B8308" w:rsidR="00FC7A86" w:rsidRPr="00FC7A86" w:rsidRDefault="00FC7A86" w:rsidP="00FC7A86">
      <w:pPr>
        <w:spacing w:after="0" w:line="240" w:lineRule="auto"/>
        <w:outlineLvl w:val="1"/>
        <w:rPr>
          <w:rFonts w:ascii="Poppins" w:eastAsia="Times New Roman" w:hAnsi="Poppins" w:cs="Poppins"/>
          <w:color w:val="FF8C00"/>
          <w:sz w:val="44"/>
          <w:szCs w:val="44"/>
        </w:rPr>
      </w:pPr>
      <w:r w:rsidRPr="00FC7A86">
        <w:rPr>
          <w:rFonts w:ascii="Poppins" w:eastAsia="Times New Roman" w:hAnsi="Poppins" w:cs="Poppins"/>
          <w:color w:val="FF8C00"/>
          <w:sz w:val="44"/>
          <w:szCs w:val="44"/>
        </w:rPr>
        <w:lastRenderedPageBreak/>
        <w:t>Servicii</w:t>
      </w:r>
    </w:p>
    <w:p w14:paraId="77FF4ABA" w14:textId="77777777" w:rsidR="00FC7A86" w:rsidRPr="00FC7A86" w:rsidRDefault="00FC7A86" w:rsidP="00FC7A86">
      <w:pPr>
        <w:spacing w:after="0" w:line="240" w:lineRule="auto"/>
        <w:jc w:val="center"/>
        <w:outlineLvl w:val="2"/>
        <w:rPr>
          <w:rFonts w:ascii="Arial" w:eastAsia="Times New Roman" w:hAnsi="Arial" w:cs="Arial"/>
          <w:b/>
          <w:bCs/>
          <w:sz w:val="27"/>
          <w:szCs w:val="27"/>
        </w:rPr>
      </w:pPr>
      <w:r w:rsidRPr="00FC7A86">
        <w:rPr>
          <w:rFonts w:ascii="Arial" w:eastAsia="Times New Roman" w:hAnsi="Arial" w:cs="Arial"/>
          <w:b/>
          <w:bCs/>
          <w:color w:val="FF8C00"/>
          <w:sz w:val="27"/>
          <w:szCs w:val="27"/>
        </w:rPr>
        <w:t>NOI</w:t>
      </w:r>
      <w:r w:rsidRPr="00FC7A86">
        <w:rPr>
          <w:rFonts w:ascii="Arial" w:eastAsia="Times New Roman" w:hAnsi="Arial" w:cs="Arial"/>
          <w:b/>
          <w:bCs/>
          <w:sz w:val="27"/>
          <w:szCs w:val="27"/>
        </w:rPr>
        <w:t> reprezentăm succesul dumneavoastră</w:t>
      </w:r>
    </w:p>
    <w:p w14:paraId="17E2CB24" w14:textId="6F0F70D7" w:rsidR="00FC7A86" w:rsidRDefault="00FC7A86" w:rsidP="00FC7A86">
      <w:pPr>
        <w:spacing w:after="0" w:line="240" w:lineRule="auto"/>
        <w:jc w:val="center"/>
        <w:rPr>
          <w:rFonts w:ascii="Arial" w:eastAsia="Times New Roman" w:hAnsi="Arial" w:cs="Arial"/>
          <w:color w:val="111111"/>
          <w:sz w:val="24"/>
          <w:szCs w:val="24"/>
        </w:rPr>
      </w:pPr>
      <w:r w:rsidRPr="00FC7A86">
        <w:rPr>
          <w:rFonts w:ascii="Arial" w:eastAsia="Times New Roman" w:hAnsi="Arial" w:cs="Arial"/>
          <w:color w:val="111111"/>
          <w:sz w:val="24"/>
          <w:szCs w:val="24"/>
        </w:rPr>
        <w:t>INTAC NISTA SRL prestează Servicii de Consultanță în achiziții publice/sectoriale pentru Instituțiile bugetare ce constau în următoarele:</w:t>
      </w:r>
    </w:p>
    <w:p w14:paraId="3E68DDD1" w14:textId="77777777" w:rsidR="00036BA2" w:rsidRPr="00FC7A86" w:rsidRDefault="00036BA2" w:rsidP="00FC7A86">
      <w:pPr>
        <w:spacing w:after="0" w:line="240" w:lineRule="auto"/>
        <w:jc w:val="center"/>
        <w:rPr>
          <w:rFonts w:ascii="Arial" w:eastAsia="Times New Roman" w:hAnsi="Arial" w:cs="Arial"/>
          <w:color w:val="111111"/>
          <w:sz w:val="24"/>
          <w:szCs w:val="24"/>
        </w:rPr>
      </w:pPr>
    </w:p>
    <w:p w14:paraId="7297EA6F" w14:textId="77777777" w:rsidR="00FC7A86" w:rsidRPr="00FC7A86" w:rsidRDefault="00FC7A86" w:rsidP="00FC7A86">
      <w:pPr>
        <w:shd w:val="clear" w:color="auto" w:fill="E91E63"/>
        <w:spacing w:after="0" w:line="240" w:lineRule="auto"/>
        <w:jc w:val="center"/>
        <w:rPr>
          <w:rFonts w:ascii="Poppins" w:eastAsia="Times New Roman" w:hAnsi="Poppins" w:cs="Poppins"/>
          <w:b/>
          <w:bCs/>
          <w:color w:val="FFFFFF"/>
          <w:sz w:val="40"/>
          <w:szCs w:val="40"/>
        </w:rPr>
      </w:pPr>
      <w:r w:rsidRPr="00FC7A86">
        <w:rPr>
          <w:rFonts w:ascii="Poppins" w:eastAsia="Times New Roman" w:hAnsi="Poppins" w:cs="Poppins"/>
          <w:b/>
          <w:bCs/>
          <w:color w:val="FFFFFF"/>
          <w:sz w:val="40"/>
          <w:szCs w:val="40"/>
        </w:rPr>
        <w:t>01</w:t>
      </w:r>
    </w:p>
    <w:p w14:paraId="490993AB" w14:textId="77777777" w:rsidR="00FC7A86" w:rsidRPr="00FC7A86" w:rsidRDefault="00FC7A86" w:rsidP="00FC7A86">
      <w:pPr>
        <w:shd w:val="clear" w:color="auto" w:fill="FFFFFF"/>
        <w:spacing w:before="150" w:after="150" w:line="240" w:lineRule="auto"/>
        <w:jc w:val="center"/>
        <w:outlineLvl w:val="2"/>
        <w:rPr>
          <w:rFonts w:ascii="Arial" w:eastAsia="Times New Roman" w:hAnsi="Arial" w:cs="Arial"/>
          <w:b/>
          <w:bCs/>
          <w:sz w:val="30"/>
          <w:szCs w:val="30"/>
        </w:rPr>
      </w:pPr>
      <w:r w:rsidRPr="00FC7A86">
        <w:rPr>
          <w:rFonts w:ascii="Arial" w:eastAsia="Times New Roman" w:hAnsi="Arial" w:cs="Arial"/>
          <w:b/>
          <w:bCs/>
          <w:sz w:val="30"/>
          <w:szCs w:val="30"/>
        </w:rPr>
        <w:t>Aferent procedurilor de atribuire – proceduri simplificate/licitații deschise:</w:t>
      </w:r>
    </w:p>
    <w:p w14:paraId="0F72DDF7"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Elaborarea de formulare și modelul contractului/acordului-cadru de achiziție publica/sectoriala;</w:t>
      </w:r>
    </w:p>
    <w:p w14:paraId="44BA1436"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Întocmirea strategiei de contractare aferentă procedurii de atribuire;</w:t>
      </w:r>
    </w:p>
    <w:p w14:paraId="31A64066"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Întocmirea documentului unic de achizitie European (DUAE);</w:t>
      </w:r>
    </w:p>
    <w:p w14:paraId="5201484B"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Consiliere în legătură cu interpretarea deciziilor comisiei de evaluare a ofertelor sau a experților tehnici cooptați;</w:t>
      </w:r>
    </w:p>
    <w:p w14:paraId="163F4AC7"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Consiliere privind elaborarea raportului procedurii de atribuire;</w:t>
      </w:r>
    </w:p>
    <w:p w14:paraId="15246C7E" w14:textId="77777777" w:rsidR="00FC7A86" w:rsidRPr="00FC7A86" w:rsidRDefault="00FC7A86" w:rsidP="007450ED">
      <w:pPr>
        <w:shd w:val="clear" w:color="auto" w:fill="FFFFFF"/>
        <w:spacing w:before="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Consiliere privind realizarea și transmiterea comunicărilor către ofertanţi privind rezultatul procedurii de atribuire prin S.E.A.P.;</w:t>
      </w:r>
    </w:p>
    <w:p w14:paraId="3162DA18" w14:textId="77777777" w:rsidR="00FC7A86" w:rsidRPr="00FC7A86" w:rsidRDefault="00FC7A86" w:rsidP="00FC7A86">
      <w:pPr>
        <w:shd w:val="clear" w:color="auto" w:fill="D95D39"/>
        <w:spacing w:after="0" w:line="240" w:lineRule="auto"/>
        <w:jc w:val="center"/>
        <w:rPr>
          <w:rFonts w:ascii="Arial" w:eastAsia="Times New Roman" w:hAnsi="Arial" w:cs="Arial"/>
          <w:b/>
          <w:bCs/>
          <w:color w:val="FFFFFF"/>
          <w:sz w:val="40"/>
          <w:szCs w:val="40"/>
        </w:rPr>
      </w:pPr>
      <w:r w:rsidRPr="00FC7A86">
        <w:rPr>
          <w:rFonts w:ascii="Arial" w:eastAsia="Times New Roman" w:hAnsi="Arial" w:cs="Arial"/>
          <w:b/>
          <w:bCs/>
          <w:color w:val="FFFFFF"/>
          <w:sz w:val="40"/>
          <w:szCs w:val="40"/>
        </w:rPr>
        <w:t>02</w:t>
      </w:r>
    </w:p>
    <w:p w14:paraId="385586AA" w14:textId="77777777" w:rsidR="00FC7A86" w:rsidRPr="00FC7A86" w:rsidRDefault="00FC7A86" w:rsidP="00FC7A86">
      <w:pPr>
        <w:shd w:val="clear" w:color="auto" w:fill="FFFFFF"/>
        <w:spacing w:before="150" w:after="150" w:line="240" w:lineRule="auto"/>
        <w:jc w:val="center"/>
        <w:outlineLvl w:val="2"/>
        <w:rPr>
          <w:rFonts w:ascii="Arial" w:eastAsia="Times New Roman" w:hAnsi="Arial" w:cs="Arial"/>
          <w:b/>
          <w:bCs/>
          <w:sz w:val="30"/>
          <w:szCs w:val="30"/>
        </w:rPr>
      </w:pPr>
      <w:r w:rsidRPr="00FC7A86">
        <w:rPr>
          <w:rFonts w:ascii="Arial" w:eastAsia="Times New Roman" w:hAnsi="Arial" w:cs="Arial"/>
          <w:b/>
          <w:bCs/>
          <w:sz w:val="30"/>
          <w:szCs w:val="30"/>
        </w:rPr>
        <w:t>Aferent Achizițiilor directe:</w:t>
      </w:r>
    </w:p>
    <w:p w14:paraId="441BE739"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Consiliere privind întocmirea referatelor de necesitate;</w:t>
      </w:r>
    </w:p>
    <w:p w14:paraId="7D8249C6"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Consiliere privind întocmirea notelor justificative;</w:t>
      </w:r>
    </w:p>
    <w:p w14:paraId="0A55297E"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Consiliere privind analiza catalogului electronic SEAP;</w:t>
      </w:r>
    </w:p>
    <w:p w14:paraId="0025844B"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Consiliere privind inițierea/acceptarea achizițiilor directe din catalogul electronic;</w:t>
      </w:r>
    </w:p>
    <w:p w14:paraId="3A50E998" w14:textId="77777777" w:rsidR="00FC7A86" w:rsidRPr="00FC7A86" w:rsidRDefault="00FC7A86" w:rsidP="007450ED">
      <w:pPr>
        <w:shd w:val="clear" w:color="auto" w:fill="FFFFFF"/>
        <w:spacing w:before="150" w:after="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Elaborarea documentațiilor necesare și publicarea anunțurilor de publicitate în SEAP (atunci când este cazul);</w:t>
      </w:r>
    </w:p>
    <w:p w14:paraId="4D1E3679" w14:textId="77777777" w:rsidR="00FC7A86" w:rsidRPr="00FC7A86" w:rsidRDefault="00FC7A86" w:rsidP="007450ED">
      <w:pPr>
        <w:shd w:val="clear" w:color="auto" w:fill="FFFFFF"/>
        <w:spacing w:before="150" w:line="240" w:lineRule="auto"/>
        <w:ind w:right="450"/>
        <w:rPr>
          <w:rFonts w:ascii="Arial" w:eastAsia="Times New Roman" w:hAnsi="Arial" w:cs="Arial"/>
          <w:color w:val="111111"/>
          <w:sz w:val="24"/>
          <w:szCs w:val="24"/>
        </w:rPr>
      </w:pPr>
      <w:r w:rsidRPr="00FC7A86">
        <w:rPr>
          <w:rFonts w:ascii="Arial" w:eastAsia="Times New Roman" w:hAnsi="Arial" w:cs="Arial"/>
          <w:color w:val="111111"/>
          <w:sz w:val="24"/>
          <w:szCs w:val="24"/>
        </w:rPr>
        <w:t>Consiliere privind realizarea și publicarea notificării trimestriale în SEAP a achizițiilor directe.</w:t>
      </w:r>
    </w:p>
    <w:p w14:paraId="1B1CA869" w14:textId="77777777" w:rsidR="00FC7A86" w:rsidRPr="00FC7A86" w:rsidRDefault="00FC7A86" w:rsidP="00FC7A86">
      <w:pPr>
        <w:shd w:val="clear" w:color="auto" w:fill="5B507A"/>
        <w:spacing w:after="0" w:line="240" w:lineRule="auto"/>
        <w:jc w:val="center"/>
        <w:rPr>
          <w:rFonts w:ascii="Arial" w:eastAsia="Times New Roman" w:hAnsi="Arial" w:cs="Arial"/>
          <w:b/>
          <w:bCs/>
          <w:color w:val="FFFFFF"/>
          <w:sz w:val="40"/>
          <w:szCs w:val="40"/>
        </w:rPr>
      </w:pPr>
      <w:r w:rsidRPr="00FC7A86">
        <w:rPr>
          <w:rFonts w:ascii="Arial" w:eastAsia="Times New Roman" w:hAnsi="Arial" w:cs="Arial"/>
          <w:b/>
          <w:bCs/>
          <w:color w:val="FFFFFF"/>
          <w:sz w:val="40"/>
          <w:szCs w:val="40"/>
        </w:rPr>
        <w:t>03</w:t>
      </w:r>
    </w:p>
    <w:p w14:paraId="35757F90" w14:textId="77777777" w:rsidR="00FC7A86" w:rsidRPr="00FC7A86" w:rsidRDefault="00FC7A86" w:rsidP="00FC7A86">
      <w:pPr>
        <w:shd w:val="clear" w:color="auto" w:fill="FFFFFF"/>
        <w:spacing w:before="150" w:after="150" w:line="240" w:lineRule="auto"/>
        <w:jc w:val="center"/>
        <w:outlineLvl w:val="2"/>
        <w:rPr>
          <w:rFonts w:ascii="Arial" w:eastAsia="Times New Roman" w:hAnsi="Arial" w:cs="Arial"/>
          <w:b/>
          <w:bCs/>
          <w:sz w:val="30"/>
          <w:szCs w:val="30"/>
        </w:rPr>
      </w:pPr>
      <w:r w:rsidRPr="00FC7A86">
        <w:rPr>
          <w:rFonts w:ascii="Arial" w:eastAsia="Times New Roman" w:hAnsi="Arial" w:cs="Arial"/>
          <w:b/>
          <w:bCs/>
          <w:sz w:val="30"/>
          <w:szCs w:val="30"/>
        </w:rPr>
        <w:t>Aferent activității de consultanță generală:</w:t>
      </w:r>
    </w:p>
    <w:p w14:paraId="77AB92B9" w14:textId="77777777" w:rsidR="00FC7A86" w:rsidRPr="00FC7A86" w:rsidRDefault="00FC7A86" w:rsidP="007450ED">
      <w:pPr>
        <w:shd w:val="clear" w:color="auto" w:fill="FFFFFF"/>
        <w:spacing w:before="150" w:after="150" w:line="240" w:lineRule="auto"/>
        <w:ind w:right="450"/>
        <w:jc w:val="both"/>
        <w:rPr>
          <w:rFonts w:ascii="Arial" w:eastAsia="Times New Roman" w:hAnsi="Arial" w:cs="Arial"/>
          <w:color w:val="111111"/>
          <w:sz w:val="24"/>
          <w:szCs w:val="24"/>
        </w:rPr>
      </w:pPr>
      <w:r w:rsidRPr="00FC7A86">
        <w:rPr>
          <w:rFonts w:ascii="Arial" w:eastAsia="Times New Roman" w:hAnsi="Arial" w:cs="Arial"/>
          <w:color w:val="111111"/>
          <w:sz w:val="24"/>
          <w:szCs w:val="24"/>
        </w:rPr>
        <w:t>Consultanță telefonică (nelimitat), prin mijloace electronice (nelimitat) și deplasări la sediile clientilor (la cerere);</w:t>
      </w:r>
    </w:p>
    <w:p w14:paraId="0C28B421" w14:textId="77777777" w:rsidR="00FC7A86" w:rsidRPr="00FC7A86" w:rsidRDefault="00FC7A86" w:rsidP="00FC7A86">
      <w:pPr>
        <w:shd w:val="clear" w:color="auto" w:fill="FFFFFF"/>
        <w:spacing w:before="150" w:line="240" w:lineRule="auto"/>
        <w:ind w:right="450"/>
        <w:jc w:val="both"/>
        <w:rPr>
          <w:rFonts w:ascii="Arial" w:eastAsia="Times New Roman" w:hAnsi="Arial" w:cs="Arial"/>
          <w:color w:val="111111"/>
          <w:sz w:val="24"/>
          <w:szCs w:val="24"/>
        </w:rPr>
      </w:pPr>
      <w:r w:rsidRPr="00FC7A86">
        <w:rPr>
          <w:rFonts w:ascii="Arial" w:eastAsia="Times New Roman" w:hAnsi="Arial" w:cs="Arial"/>
          <w:color w:val="111111"/>
          <w:sz w:val="24"/>
          <w:szCs w:val="24"/>
        </w:rPr>
        <w:t>Elaborarea de puncte de vedere pe diferite spețe în domeniul achizițiilor publice/sectoriale (nelimitat).</w:t>
      </w:r>
    </w:p>
    <w:p w14:paraId="59B6F719" w14:textId="77777777" w:rsidR="00036BA2" w:rsidRDefault="00036BA2" w:rsidP="00FC7A86">
      <w:pPr>
        <w:spacing w:after="0" w:line="240" w:lineRule="auto"/>
        <w:jc w:val="both"/>
        <w:rPr>
          <w:rFonts w:ascii="Poppins" w:eastAsia="Times New Roman" w:hAnsi="Poppins" w:cs="Poppins"/>
          <w:color w:val="FFC000"/>
          <w:sz w:val="44"/>
          <w:szCs w:val="44"/>
        </w:rPr>
      </w:pPr>
    </w:p>
    <w:p w14:paraId="6832AD9D" w14:textId="6316D696" w:rsidR="007450ED" w:rsidRPr="007450ED" w:rsidRDefault="007450ED" w:rsidP="00FC7A86">
      <w:pPr>
        <w:spacing w:after="0" w:line="240" w:lineRule="auto"/>
        <w:jc w:val="both"/>
        <w:rPr>
          <w:rFonts w:ascii="Poppins" w:eastAsia="Times New Roman" w:hAnsi="Poppins" w:cs="Poppins"/>
          <w:color w:val="FFC000"/>
          <w:sz w:val="44"/>
          <w:szCs w:val="44"/>
        </w:rPr>
      </w:pPr>
      <w:r w:rsidRPr="007450ED">
        <w:rPr>
          <w:rFonts w:ascii="Poppins" w:eastAsia="Times New Roman" w:hAnsi="Poppins" w:cs="Poppins"/>
          <w:color w:val="FFC000"/>
          <w:sz w:val="44"/>
          <w:szCs w:val="44"/>
        </w:rPr>
        <w:t>Oferte :</w:t>
      </w:r>
    </w:p>
    <w:p w14:paraId="7C8BAD51" w14:textId="77777777" w:rsidR="007450ED" w:rsidRPr="007450ED" w:rsidRDefault="007450ED" w:rsidP="00FC7A86">
      <w:pPr>
        <w:spacing w:after="0" w:line="240" w:lineRule="auto"/>
        <w:jc w:val="both"/>
        <w:rPr>
          <w:rFonts w:ascii="Tahoma" w:eastAsia="Times New Roman" w:hAnsi="Tahoma" w:cs="Tahoma"/>
          <w:b/>
          <w:bCs/>
          <w:color w:val="FFC000"/>
          <w:sz w:val="32"/>
          <w:szCs w:val="32"/>
        </w:rPr>
      </w:pPr>
    </w:p>
    <w:p w14:paraId="1092FF47" w14:textId="33629674" w:rsidR="00FC7A86" w:rsidRPr="00FC7A86" w:rsidRDefault="00FC7A86" w:rsidP="00FC7A86">
      <w:pPr>
        <w:spacing w:after="0" w:line="240" w:lineRule="auto"/>
        <w:jc w:val="both"/>
        <w:rPr>
          <w:rFonts w:ascii="Arial" w:eastAsia="Times New Roman" w:hAnsi="Arial" w:cs="Arial"/>
          <w:color w:val="111111"/>
          <w:sz w:val="28"/>
          <w:szCs w:val="28"/>
        </w:rPr>
      </w:pPr>
      <w:r w:rsidRPr="00FC7A86">
        <w:rPr>
          <w:rFonts w:ascii="Arial" w:eastAsia="Times New Roman" w:hAnsi="Arial" w:cs="Arial"/>
          <w:b/>
          <w:bCs/>
          <w:color w:val="111111"/>
          <w:sz w:val="28"/>
          <w:szCs w:val="28"/>
        </w:rPr>
        <w:t>Pentru autoritățile contractante INTAC NISTA SRL asigură servicii de consultanță atât pentru proceduri de atribuire individuale cât și în cadrul colaborărilor de tip abonament</w:t>
      </w:r>
      <w:r w:rsidRPr="00FC7A86">
        <w:rPr>
          <w:rFonts w:ascii="Arial" w:eastAsia="Times New Roman" w:hAnsi="Arial" w:cs="Arial"/>
          <w:color w:val="111111"/>
          <w:sz w:val="28"/>
          <w:szCs w:val="28"/>
        </w:rPr>
        <w:t>.</w:t>
      </w:r>
    </w:p>
    <w:p w14:paraId="7257FD7D" w14:textId="4E03960B" w:rsidR="00FC7A86" w:rsidRPr="00FC7A86" w:rsidRDefault="00FC7A86" w:rsidP="00FC7A86">
      <w:pPr>
        <w:spacing w:after="0" w:line="240" w:lineRule="auto"/>
        <w:jc w:val="both"/>
        <w:rPr>
          <w:rFonts w:ascii="Arial" w:eastAsia="Times New Roman" w:hAnsi="Arial" w:cs="Arial"/>
          <w:color w:val="111111"/>
          <w:sz w:val="24"/>
          <w:szCs w:val="24"/>
        </w:rPr>
      </w:pPr>
      <w:r w:rsidRPr="00FC7A86">
        <w:rPr>
          <w:rFonts w:ascii="Arial" w:eastAsia="Times New Roman" w:hAnsi="Arial" w:cs="Arial"/>
          <w:color w:val="111111"/>
          <w:sz w:val="24"/>
          <w:szCs w:val="24"/>
        </w:rPr>
        <w:t>Abonament anual – conține pachetul prevăzut la punctele I, II și III pentru un număr de maxim 3 proceduri de atribuire/contract (include 2 deplasări gratuite).</w:t>
      </w:r>
    </w:p>
    <w:p w14:paraId="34A4952E" w14:textId="7AA009AC" w:rsidR="00FC7A86" w:rsidRDefault="00FC7A86" w:rsidP="00FC7A86">
      <w:pPr>
        <w:spacing w:after="0" w:line="240" w:lineRule="auto"/>
        <w:jc w:val="both"/>
        <w:rPr>
          <w:rFonts w:ascii="Arial" w:eastAsia="Times New Roman" w:hAnsi="Arial" w:cs="Arial"/>
          <w:color w:val="111111"/>
          <w:sz w:val="24"/>
          <w:szCs w:val="24"/>
        </w:rPr>
      </w:pPr>
      <w:r w:rsidRPr="00FC7A86">
        <w:rPr>
          <w:rFonts w:ascii="Arial" w:eastAsia="Times New Roman" w:hAnsi="Arial" w:cs="Arial"/>
          <w:color w:val="111111"/>
          <w:sz w:val="24"/>
          <w:szCs w:val="24"/>
        </w:rPr>
        <w:t>Consultanță pentru organizarea unei proceduri simplificate (de produse, servicii sau lucrări) – ce conține pachetul prevăzut la punctul I (include 2 deplasări gratuite).</w:t>
      </w:r>
    </w:p>
    <w:p w14:paraId="298EE1A7" w14:textId="77777777" w:rsidR="007450ED" w:rsidRPr="00FC7A86" w:rsidRDefault="007450ED" w:rsidP="00FC7A86">
      <w:pPr>
        <w:spacing w:after="0" w:line="240" w:lineRule="auto"/>
        <w:jc w:val="both"/>
        <w:rPr>
          <w:rFonts w:ascii="Arial" w:eastAsia="Times New Roman" w:hAnsi="Arial" w:cs="Arial"/>
          <w:color w:val="111111"/>
          <w:sz w:val="24"/>
          <w:szCs w:val="24"/>
        </w:rPr>
      </w:pPr>
    </w:p>
    <w:p w14:paraId="5E1E5F89" w14:textId="77777777" w:rsidR="00FC7A86" w:rsidRPr="00FC7A86" w:rsidRDefault="00FC7A86" w:rsidP="00FC7A86">
      <w:pPr>
        <w:spacing w:after="0" w:line="240" w:lineRule="auto"/>
        <w:outlineLvl w:val="2"/>
        <w:rPr>
          <w:rFonts w:ascii="Arial" w:eastAsia="Times New Roman" w:hAnsi="Arial" w:cs="Arial"/>
          <w:b/>
          <w:bCs/>
          <w:sz w:val="28"/>
          <w:szCs w:val="28"/>
        </w:rPr>
      </w:pPr>
      <w:r w:rsidRPr="00FC7A86">
        <w:rPr>
          <w:rFonts w:ascii="Arial" w:eastAsia="Times New Roman" w:hAnsi="Arial" w:cs="Arial"/>
          <w:b/>
          <w:bCs/>
          <w:sz w:val="28"/>
          <w:szCs w:val="28"/>
        </w:rPr>
        <w:t>INTAC NISTA SRL prestează Servicii de Consultanță pentru Operatorii Economici - Societăți Comerciale care participă la proceduri de atribuire organizate prin S.E.A.P sau care obțin finanțări din fonduri europene și au nevoie de sprijin în organizarea procedurilor ce constau în următoarele:</w:t>
      </w:r>
    </w:p>
    <w:p w14:paraId="4E43FAC9" w14:textId="77777777" w:rsidR="00FC7A86" w:rsidRPr="00FC7A86" w:rsidRDefault="00FC7A86" w:rsidP="00FC7A86">
      <w:pPr>
        <w:spacing w:after="0" w:line="240" w:lineRule="auto"/>
        <w:rPr>
          <w:rFonts w:ascii="Arial" w:eastAsia="Times New Roman" w:hAnsi="Arial" w:cs="Arial"/>
          <w:color w:val="111111"/>
          <w:sz w:val="24"/>
          <w:szCs w:val="24"/>
        </w:rPr>
      </w:pPr>
      <w:r w:rsidRPr="00FC7A86">
        <w:rPr>
          <w:rFonts w:ascii="Arial" w:eastAsia="Times New Roman" w:hAnsi="Arial" w:cs="Arial"/>
          <w:color w:val="111111"/>
          <w:sz w:val="24"/>
          <w:szCs w:val="24"/>
        </w:rPr>
        <w:t>— asistenta intocmire documentatie participare la procedura, oferta financiara/tehnica, completare formular DUAE</w:t>
      </w:r>
    </w:p>
    <w:p w14:paraId="20F8E011" w14:textId="77777777" w:rsidR="00FC7A86" w:rsidRPr="00FC7A86" w:rsidRDefault="00FC7A86" w:rsidP="00FC7A86">
      <w:pPr>
        <w:spacing w:after="0" w:line="240" w:lineRule="auto"/>
        <w:rPr>
          <w:rFonts w:ascii="Arial" w:eastAsia="Times New Roman" w:hAnsi="Arial" w:cs="Arial"/>
          <w:color w:val="111111"/>
          <w:sz w:val="24"/>
          <w:szCs w:val="24"/>
        </w:rPr>
      </w:pPr>
      <w:r w:rsidRPr="00FC7A86">
        <w:rPr>
          <w:rFonts w:ascii="Arial" w:eastAsia="Times New Roman" w:hAnsi="Arial" w:cs="Arial"/>
          <w:color w:val="111111"/>
          <w:sz w:val="24"/>
          <w:szCs w:val="24"/>
        </w:rPr>
        <w:t>— asistenta in publicarea ofertei pe SEAP/SICAP</w:t>
      </w:r>
    </w:p>
    <w:p w14:paraId="06B8A700" w14:textId="6B9A1196" w:rsidR="00FC7A86" w:rsidRPr="00036BA2" w:rsidRDefault="00FC7A86" w:rsidP="00FC7A86">
      <w:pPr>
        <w:spacing w:after="0" w:line="240" w:lineRule="auto"/>
        <w:rPr>
          <w:rFonts w:ascii="Arial" w:eastAsia="Times New Roman" w:hAnsi="Arial" w:cs="Arial"/>
          <w:color w:val="111111"/>
          <w:sz w:val="24"/>
          <w:szCs w:val="24"/>
        </w:rPr>
      </w:pPr>
      <w:r w:rsidRPr="00FC7A86">
        <w:rPr>
          <w:rFonts w:ascii="Arial" w:eastAsia="Times New Roman" w:hAnsi="Arial" w:cs="Arial"/>
          <w:color w:val="111111"/>
          <w:sz w:val="24"/>
          <w:szCs w:val="24"/>
        </w:rPr>
        <w:t>— asistenta intocmire cereri de clarificari/contestatii la CNSC</w:t>
      </w:r>
    </w:p>
    <w:p w14:paraId="10A19DA8" w14:textId="2329FABE" w:rsidR="007450ED" w:rsidRPr="00036BA2" w:rsidRDefault="007450ED" w:rsidP="00FC7A86">
      <w:pPr>
        <w:spacing w:after="0" w:line="240" w:lineRule="auto"/>
        <w:rPr>
          <w:rFonts w:ascii="Arial" w:eastAsia="Times New Roman" w:hAnsi="Arial" w:cs="Arial"/>
          <w:color w:val="111111"/>
          <w:sz w:val="24"/>
          <w:szCs w:val="24"/>
        </w:rPr>
      </w:pPr>
    </w:p>
    <w:p w14:paraId="74EB4EAA" w14:textId="77777777" w:rsidR="00FC7A86" w:rsidRPr="00FC7A86" w:rsidRDefault="00FC7A86" w:rsidP="00FC7A86">
      <w:pPr>
        <w:spacing w:after="0" w:line="240" w:lineRule="auto"/>
        <w:ind w:left="720"/>
        <w:outlineLvl w:val="2"/>
        <w:rPr>
          <w:rFonts w:ascii="Poppins" w:eastAsia="Times New Roman" w:hAnsi="Poppins" w:cs="Poppins"/>
          <w:b/>
          <w:bCs/>
          <w:sz w:val="27"/>
          <w:szCs w:val="27"/>
        </w:rPr>
      </w:pPr>
      <w:r w:rsidRPr="00FC7A86">
        <w:rPr>
          <w:rFonts w:ascii="Poppins" w:eastAsia="Times New Roman" w:hAnsi="Poppins" w:cs="Poppins"/>
          <w:b/>
          <w:bCs/>
          <w:sz w:val="27"/>
          <w:szCs w:val="27"/>
        </w:rPr>
        <w:t>Pentru operatorii economici/ofertanti SC INTAC NISTA SRL asigura urmatoarele servicii:</w:t>
      </w:r>
    </w:p>
    <w:p w14:paraId="0235BB49" w14:textId="689FF7FA"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rPr>
          <w:rFonts w:ascii="Arial" w:eastAsia="Times New Roman" w:hAnsi="Arial" w:cs="Arial"/>
          <w:color w:val="000000"/>
          <w:sz w:val="24"/>
          <w:szCs w:val="24"/>
        </w:rPr>
      </w:pPr>
      <w:r w:rsidRPr="00FC7A86">
        <w:rPr>
          <w:rFonts w:ascii="Arial" w:eastAsia="Times New Roman" w:hAnsi="Arial" w:cs="Arial"/>
          <w:color w:val="000000"/>
          <w:sz w:val="24"/>
          <w:szCs w:val="24"/>
        </w:rPr>
        <w:t>1.Deschidere cont in SEAP</w:t>
      </w:r>
      <w:r w:rsidR="007450ED" w:rsidRPr="007450ED">
        <w:rPr>
          <w:rFonts w:ascii="Arial" w:eastAsia="Times New Roman" w:hAnsi="Arial" w:cs="Arial"/>
          <w:color w:val="000000"/>
          <w:sz w:val="24"/>
          <w:szCs w:val="24"/>
        </w:rPr>
        <w:t xml:space="preserve"> </w:t>
      </w:r>
    </w:p>
    <w:p w14:paraId="625E85CE" w14:textId="5BF9329F"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rPr>
          <w:rFonts w:ascii="Arial" w:eastAsia="Times New Roman" w:hAnsi="Arial" w:cs="Arial"/>
          <w:color w:val="000000"/>
          <w:sz w:val="24"/>
          <w:szCs w:val="24"/>
        </w:rPr>
      </w:pPr>
      <w:r w:rsidRPr="00FC7A86">
        <w:rPr>
          <w:rFonts w:ascii="Arial" w:eastAsia="Times New Roman" w:hAnsi="Arial" w:cs="Arial"/>
          <w:color w:val="000000"/>
          <w:sz w:val="24"/>
          <w:szCs w:val="24"/>
        </w:rPr>
        <w:t>2.Configurare si publicare produse in catalogul SEAP/SICAP</w:t>
      </w:r>
      <w:r w:rsidR="007450ED" w:rsidRPr="007450ED">
        <w:rPr>
          <w:rFonts w:ascii="Arial" w:eastAsia="Times New Roman" w:hAnsi="Arial" w:cs="Arial"/>
          <w:color w:val="000000"/>
          <w:sz w:val="24"/>
          <w:szCs w:val="24"/>
        </w:rPr>
        <w:t xml:space="preserve"> </w:t>
      </w:r>
    </w:p>
    <w:p w14:paraId="5F402912" w14:textId="77777777"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rPr>
          <w:rFonts w:ascii="Arial" w:eastAsia="Times New Roman" w:hAnsi="Arial" w:cs="Arial"/>
          <w:color w:val="000000"/>
          <w:sz w:val="24"/>
          <w:szCs w:val="24"/>
        </w:rPr>
      </w:pPr>
      <w:r w:rsidRPr="00FC7A86">
        <w:rPr>
          <w:rFonts w:ascii="Arial" w:eastAsia="Times New Roman" w:hAnsi="Arial" w:cs="Arial"/>
          <w:color w:val="000000"/>
          <w:sz w:val="24"/>
          <w:szCs w:val="24"/>
        </w:rPr>
        <w:t>3.Elaborarea dosarelor de achizitie în vederea participării la procedură (include studiere documentaţie, elaborare raport privind opţiunile clientului, întocmire şi gestionare eventuale solicitări de clarificare, întocmire ofertă)</w:t>
      </w:r>
    </w:p>
    <w:p w14:paraId="3B748456" w14:textId="0217E0D2"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firstLine="556"/>
        <w:rPr>
          <w:rFonts w:ascii="Arial" w:eastAsia="Times New Roman" w:hAnsi="Arial" w:cs="Arial"/>
          <w:color w:val="000000"/>
          <w:sz w:val="24"/>
          <w:szCs w:val="24"/>
        </w:rPr>
      </w:pPr>
      <w:r w:rsidRPr="00FC7A86">
        <w:rPr>
          <w:rFonts w:ascii="Arial" w:eastAsia="Times New Roman" w:hAnsi="Arial" w:cs="Arial"/>
          <w:color w:val="000000"/>
          <w:sz w:val="24"/>
          <w:szCs w:val="24"/>
        </w:rPr>
        <w:t>a.Achizitie produse cerere de oferta</w:t>
      </w:r>
    </w:p>
    <w:p w14:paraId="0005A732" w14:textId="691890B5"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firstLine="556"/>
        <w:rPr>
          <w:rFonts w:ascii="Arial" w:eastAsia="Times New Roman" w:hAnsi="Arial" w:cs="Arial"/>
          <w:color w:val="000000"/>
          <w:sz w:val="24"/>
          <w:szCs w:val="24"/>
        </w:rPr>
      </w:pPr>
      <w:r w:rsidRPr="00FC7A86">
        <w:rPr>
          <w:rFonts w:ascii="Arial" w:eastAsia="Times New Roman" w:hAnsi="Arial" w:cs="Arial"/>
          <w:color w:val="000000"/>
          <w:sz w:val="24"/>
          <w:szCs w:val="24"/>
        </w:rPr>
        <w:t>b.Achiziţie produse/servicii –procedura simplificata</w:t>
      </w:r>
    </w:p>
    <w:p w14:paraId="73EBD55E" w14:textId="6E746757"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firstLine="556"/>
        <w:rPr>
          <w:rFonts w:ascii="Arial" w:eastAsia="Times New Roman" w:hAnsi="Arial" w:cs="Arial"/>
          <w:color w:val="000000"/>
          <w:sz w:val="24"/>
          <w:szCs w:val="24"/>
        </w:rPr>
      </w:pPr>
      <w:r w:rsidRPr="00FC7A86">
        <w:rPr>
          <w:rFonts w:ascii="Arial" w:eastAsia="Times New Roman" w:hAnsi="Arial" w:cs="Arial"/>
          <w:color w:val="000000"/>
          <w:sz w:val="24"/>
          <w:szCs w:val="24"/>
        </w:rPr>
        <w:t>c.Achiziţie produse si servicii- procedura simplificata</w:t>
      </w:r>
    </w:p>
    <w:p w14:paraId="39657DCC" w14:textId="50843C42"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firstLine="556"/>
        <w:rPr>
          <w:rFonts w:ascii="Arial" w:eastAsia="Times New Roman" w:hAnsi="Arial" w:cs="Arial"/>
          <w:color w:val="000000"/>
          <w:sz w:val="24"/>
          <w:szCs w:val="24"/>
        </w:rPr>
      </w:pPr>
      <w:r w:rsidRPr="00FC7A86">
        <w:rPr>
          <w:rFonts w:ascii="Arial" w:eastAsia="Times New Roman" w:hAnsi="Arial" w:cs="Arial"/>
          <w:color w:val="000000"/>
          <w:sz w:val="24"/>
          <w:szCs w:val="24"/>
        </w:rPr>
        <w:t>d.Achizitie produse/servicii- licitatii deschise</w:t>
      </w:r>
    </w:p>
    <w:p w14:paraId="0597CC1C" w14:textId="65E2D790"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firstLine="556"/>
        <w:rPr>
          <w:rFonts w:ascii="Arial" w:eastAsia="Times New Roman" w:hAnsi="Arial" w:cs="Arial"/>
          <w:color w:val="000000"/>
          <w:sz w:val="24"/>
          <w:szCs w:val="24"/>
        </w:rPr>
      </w:pPr>
      <w:r w:rsidRPr="00FC7A86">
        <w:rPr>
          <w:rFonts w:ascii="Arial" w:eastAsia="Times New Roman" w:hAnsi="Arial" w:cs="Arial"/>
          <w:color w:val="000000"/>
          <w:sz w:val="24"/>
          <w:szCs w:val="24"/>
        </w:rPr>
        <w:t>e.Achiziţie lucrari- licitatii deschise</w:t>
      </w:r>
    </w:p>
    <w:p w14:paraId="2B7E0F36" w14:textId="77777777"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rPr>
          <w:rFonts w:ascii="Arial" w:eastAsia="Times New Roman" w:hAnsi="Arial" w:cs="Arial"/>
          <w:color w:val="000000"/>
          <w:sz w:val="24"/>
          <w:szCs w:val="24"/>
        </w:rPr>
      </w:pPr>
      <w:r w:rsidRPr="00FC7A86">
        <w:rPr>
          <w:rFonts w:ascii="Arial" w:eastAsia="Times New Roman" w:hAnsi="Arial" w:cs="Arial"/>
          <w:color w:val="000000"/>
          <w:sz w:val="24"/>
          <w:szCs w:val="24"/>
        </w:rPr>
        <w:t>4.Formulare contestaţie (fara reprezentare la CNSC)50 % din tariful pentru elaborare ofertă</w:t>
      </w:r>
    </w:p>
    <w:p w14:paraId="1E1A5792" w14:textId="77777777" w:rsidR="00FC7A86" w:rsidRPr="00FC7A86" w:rsidRDefault="00FC7A86" w:rsidP="007450ED">
      <w:pPr>
        <w:pBdr>
          <w:top w:val="single" w:sz="6" w:space="8" w:color="000000"/>
          <w:left w:val="single" w:sz="6" w:space="15" w:color="000000"/>
          <w:bottom w:val="single" w:sz="6" w:space="8" w:color="000000"/>
          <w:right w:val="single" w:sz="6" w:space="15" w:color="000000"/>
        </w:pBdr>
        <w:shd w:val="clear" w:color="auto" w:fill="FFFFFF"/>
        <w:spacing w:after="0" w:line="240" w:lineRule="auto"/>
        <w:ind w:left="720"/>
        <w:rPr>
          <w:rFonts w:ascii="Arial" w:eastAsia="Times New Roman" w:hAnsi="Arial" w:cs="Arial"/>
          <w:color w:val="000000"/>
          <w:sz w:val="24"/>
          <w:szCs w:val="24"/>
        </w:rPr>
      </w:pPr>
      <w:r w:rsidRPr="00FC7A86">
        <w:rPr>
          <w:rFonts w:ascii="Arial" w:eastAsia="Times New Roman" w:hAnsi="Arial" w:cs="Arial"/>
          <w:color w:val="000000"/>
          <w:sz w:val="24"/>
          <w:szCs w:val="24"/>
        </w:rPr>
        <w:t>5.Deplasare la sediul operatorului economic 2 gratuite50 % din tariful pentru elaborare ofertă</w:t>
      </w:r>
    </w:p>
    <w:p w14:paraId="739E446B" w14:textId="77777777" w:rsidR="00FC7A86" w:rsidRPr="00FC7A86" w:rsidRDefault="00FC7A86" w:rsidP="00036BA2">
      <w:pPr>
        <w:spacing w:after="0" w:line="240" w:lineRule="auto"/>
        <w:ind w:firstLine="720"/>
        <w:jc w:val="both"/>
        <w:rPr>
          <w:rFonts w:ascii="Arial" w:eastAsia="Times New Roman" w:hAnsi="Arial" w:cs="Arial"/>
          <w:color w:val="111111"/>
          <w:sz w:val="24"/>
          <w:szCs w:val="24"/>
        </w:rPr>
      </w:pPr>
      <w:r w:rsidRPr="00FC7A86">
        <w:rPr>
          <w:rFonts w:ascii="Arial" w:eastAsia="Times New Roman" w:hAnsi="Arial" w:cs="Arial"/>
          <w:color w:val="111111"/>
          <w:sz w:val="24"/>
          <w:szCs w:val="24"/>
        </w:rPr>
        <w:t>In cazul in care procedura este impartita pe loturi, pentru fiecare lot suplimentar se va percepe un tarif de 50% din tariful primului lot.</w:t>
      </w:r>
    </w:p>
    <w:p w14:paraId="19B3A88C" w14:textId="77777777" w:rsidR="00FC7A86" w:rsidRPr="00FC7A86" w:rsidRDefault="00FC7A86" w:rsidP="00036BA2">
      <w:pPr>
        <w:spacing w:after="0" w:line="240" w:lineRule="auto"/>
        <w:ind w:firstLine="720"/>
        <w:jc w:val="both"/>
        <w:rPr>
          <w:rFonts w:ascii="Arial" w:eastAsia="Times New Roman" w:hAnsi="Arial" w:cs="Arial"/>
          <w:color w:val="111111"/>
          <w:sz w:val="24"/>
          <w:szCs w:val="24"/>
        </w:rPr>
      </w:pPr>
      <w:r w:rsidRPr="00FC7A86">
        <w:rPr>
          <w:rFonts w:ascii="Arial" w:eastAsia="Times New Roman" w:hAnsi="Arial" w:cs="Arial"/>
          <w:color w:val="111111"/>
          <w:sz w:val="24"/>
          <w:szCs w:val="24"/>
        </w:rPr>
        <w:t>Prezentele tarife pot fi negociate numai cu acordul partilor.</w:t>
      </w:r>
    </w:p>
    <w:p w14:paraId="4AED1C43" w14:textId="1783019E" w:rsidR="00BD5A09" w:rsidRPr="007450ED" w:rsidRDefault="00FC7A86" w:rsidP="00036BA2">
      <w:pPr>
        <w:spacing w:after="0" w:line="240" w:lineRule="auto"/>
        <w:ind w:firstLine="720"/>
        <w:jc w:val="both"/>
        <w:rPr>
          <w:rFonts w:ascii="Arial" w:eastAsia="Times New Roman" w:hAnsi="Arial" w:cs="Arial"/>
          <w:color w:val="111111"/>
          <w:sz w:val="24"/>
          <w:szCs w:val="24"/>
        </w:rPr>
      </w:pPr>
      <w:r w:rsidRPr="00FC7A86">
        <w:rPr>
          <w:rFonts w:ascii="Arial" w:eastAsia="Times New Roman" w:hAnsi="Arial" w:cs="Arial"/>
          <w:color w:val="111111"/>
          <w:sz w:val="24"/>
          <w:szCs w:val="24"/>
        </w:rPr>
        <w:t>In functie de solicitarile operatorilor economici serviciile de mai sus pot fi diversificate.</w:t>
      </w:r>
    </w:p>
    <w:sectPr w:rsidR="00BD5A09" w:rsidRPr="007450ED" w:rsidSect="00036BA2">
      <w:pgSz w:w="12240" w:h="15840" w:code="1"/>
      <w:pgMar w:top="851" w:right="1134" w:bottom="851" w:left="1701"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0AD"/>
    <w:multiLevelType w:val="multilevel"/>
    <w:tmpl w:val="F3C4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E9335A"/>
    <w:multiLevelType w:val="multilevel"/>
    <w:tmpl w:val="5CE2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E27F89"/>
    <w:multiLevelType w:val="multilevel"/>
    <w:tmpl w:val="189A3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7820163">
    <w:abstractNumId w:val="0"/>
  </w:num>
  <w:num w:numId="2" w16cid:durableId="485635002">
    <w:abstractNumId w:val="2"/>
  </w:num>
  <w:num w:numId="3" w16cid:durableId="84890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94"/>
    <w:rsid w:val="00036BA2"/>
    <w:rsid w:val="00621D94"/>
    <w:rsid w:val="00696BBB"/>
    <w:rsid w:val="007450ED"/>
    <w:rsid w:val="0078434F"/>
    <w:rsid w:val="00BD5A09"/>
    <w:rsid w:val="00CA4349"/>
    <w:rsid w:val="00FC264B"/>
    <w:rsid w:val="00FC7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7FED"/>
  <w15:chartTrackingRefBased/>
  <w15:docId w15:val="{12266017-7CB5-4B46-8AAB-AFEB880D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7A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7A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7A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7A8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C7A86"/>
    <w:rPr>
      <w:color w:val="0000FF"/>
      <w:u w:val="single"/>
    </w:rPr>
  </w:style>
  <w:style w:type="paragraph" w:styleId="NormalWeb">
    <w:name w:val="Normal (Web)"/>
    <w:basedOn w:val="Normal"/>
    <w:uiPriority w:val="99"/>
    <w:semiHidden/>
    <w:unhideWhenUsed/>
    <w:rsid w:val="00FC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
    <w:name w:val="number"/>
    <w:basedOn w:val="DefaultParagraphFont"/>
    <w:rsid w:val="00FC7A86"/>
  </w:style>
  <w:style w:type="character" w:customStyle="1" w:styleId="nume">
    <w:name w:val="nume"/>
    <w:basedOn w:val="DefaultParagraphFont"/>
    <w:rsid w:val="00FC7A86"/>
  </w:style>
  <w:style w:type="character" w:customStyle="1" w:styleId="pret">
    <w:name w:val="pret"/>
    <w:basedOn w:val="DefaultParagraphFont"/>
    <w:rsid w:val="00FC7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86234">
      <w:bodyDiv w:val="1"/>
      <w:marLeft w:val="0"/>
      <w:marRight w:val="0"/>
      <w:marTop w:val="0"/>
      <w:marBottom w:val="0"/>
      <w:divBdr>
        <w:top w:val="none" w:sz="0" w:space="0" w:color="auto"/>
        <w:left w:val="none" w:sz="0" w:space="0" w:color="auto"/>
        <w:bottom w:val="none" w:sz="0" w:space="0" w:color="auto"/>
        <w:right w:val="none" w:sz="0" w:space="0" w:color="auto"/>
      </w:divBdr>
      <w:divsChild>
        <w:div w:id="913972131">
          <w:marLeft w:val="0"/>
          <w:marRight w:val="0"/>
          <w:marTop w:val="0"/>
          <w:marBottom w:val="0"/>
          <w:divBdr>
            <w:top w:val="none" w:sz="0" w:space="0" w:color="auto"/>
            <w:left w:val="none" w:sz="0" w:space="0" w:color="auto"/>
            <w:bottom w:val="none" w:sz="0" w:space="0" w:color="auto"/>
            <w:right w:val="none" w:sz="0" w:space="0" w:color="auto"/>
          </w:divBdr>
          <w:divsChild>
            <w:div w:id="1415858101">
              <w:marLeft w:val="0"/>
              <w:marRight w:val="0"/>
              <w:marTop w:val="0"/>
              <w:marBottom w:val="0"/>
              <w:divBdr>
                <w:top w:val="none" w:sz="0" w:space="0" w:color="auto"/>
                <w:left w:val="none" w:sz="0" w:space="0" w:color="auto"/>
                <w:bottom w:val="none" w:sz="0" w:space="0" w:color="auto"/>
                <w:right w:val="none" w:sz="0" w:space="0" w:color="auto"/>
              </w:divBdr>
            </w:div>
            <w:div w:id="661271740">
              <w:marLeft w:val="0"/>
              <w:marRight w:val="0"/>
              <w:marTop w:val="0"/>
              <w:marBottom w:val="0"/>
              <w:divBdr>
                <w:top w:val="none" w:sz="0" w:space="0" w:color="auto"/>
                <w:left w:val="none" w:sz="0" w:space="0" w:color="auto"/>
                <w:bottom w:val="none" w:sz="0" w:space="0" w:color="auto"/>
                <w:right w:val="none" w:sz="0" w:space="0" w:color="auto"/>
              </w:divBdr>
              <w:divsChild>
                <w:div w:id="1406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5423">
          <w:marLeft w:val="0"/>
          <w:marRight w:val="0"/>
          <w:marTop w:val="0"/>
          <w:marBottom w:val="0"/>
          <w:divBdr>
            <w:top w:val="none" w:sz="0" w:space="0" w:color="auto"/>
            <w:left w:val="none" w:sz="0" w:space="0" w:color="auto"/>
            <w:bottom w:val="none" w:sz="0" w:space="0" w:color="auto"/>
            <w:right w:val="none" w:sz="0" w:space="0" w:color="auto"/>
          </w:divBdr>
        </w:div>
        <w:div w:id="1394037964">
          <w:marLeft w:val="0"/>
          <w:marRight w:val="0"/>
          <w:marTop w:val="0"/>
          <w:marBottom w:val="0"/>
          <w:divBdr>
            <w:top w:val="none" w:sz="0" w:space="0" w:color="auto"/>
            <w:left w:val="none" w:sz="0" w:space="0" w:color="auto"/>
            <w:bottom w:val="none" w:sz="0" w:space="0" w:color="auto"/>
            <w:right w:val="none" w:sz="0" w:space="0" w:color="auto"/>
          </w:divBdr>
          <w:divsChild>
            <w:div w:id="2025864651">
              <w:marLeft w:val="300"/>
              <w:marRight w:val="300"/>
              <w:marTop w:val="300"/>
              <w:marBottom w:val="300"/>
              <w:divBdr>
                <w:top w:val="none" w:sz="0" w:space="0" w:color="auto"/>
                <w:left w:val="none" w:sz="0" w:space="0" w:color="auto"/>
                <w:bottom w:val="none" w:sz="0" w:space="0" w:color="auto"/>
                <w:right w:val="none" w:sz="0" w:space="0" w:color="auto"/>
              </w:divBdr>
              <w:divsChild>
                <w:div w:id="1372876189">
                  <w:marLeft w:val="0"/>
                  <w:marRight w:val="0"/>
                  <w:marTop w:val="0"/>
                  <w:marBottom w:val="0"/>
                  <w:divBdr>
                    <w:top w:val="none" w:sz="0" w:space="0" w:color="auto"/>
                    <w:left w:val="none" w:sz="0" w:space="0" w:color="auto"/>
                    <w:bottom w:val="none" w:sz="0" w:space="0" w:color="auto"/>
                    <w:right w:val="none" w:sz="0" w:space="0" w:color="auto"/>
                  </w:divBdr>
                </w:div>
                <w:div w:id="1171064468">
                  <w:marLeft w:val="0"/>
                  <w:marRight w:val="0"/>
                  <w:marTop w:val="0"/>
                  <w:marBottom w:val="0"/>
                  <w:divBdr>
                    <w:top w:val="none" w:sz="0" w:space="0" w:color="auto"/>
                    <w:left w:val="none" w:sz="0" w:space="0" w:color="auto"/>
                    <w:bottom w:val="none" w:sz="0" w:space="0" w:color="auto"/>
                    <w:right w:val="none" w:sz="0" w:space="0" w:color="auto"/>
                  </w:divBdr>
                </w:div>
              </w:divsChild>
            </w:div>
            <w:div w:id="200630040">
              <w:marLeft w:val="300"/>
              <w:marRight w:val="300"/>
              <w:marTop w:val="300"/>
              <w:marBottom w:val="300"/>
              <w:divBdr>
                <w:top w:val="none" w:sz="0" w:space="0" w:color="auto"/>
                <w:left w:val="none" w:sz="0" w:space="0" w:color="auto"/>
                <w:bottom w:val="none" w:sz="0" w:space="0" w:color="auto"/>
                <w:right w:val="none" w:sz="0" w:space="0" w:color="auto"/>
              </w:divBdr>
              <w:divsChild>
                <w:div w:id="973174006">
                  <w:marLeft w:val="0"/>
                  <w:marRight w:val="0"/>
                  <w:marTop w:val="0"/>
                  <w:marBottom w:val="0"/>
                  <w:divBdr>
                    <w:top w:val="none" w:sz="0" w:space="0" w:color="auto"/>
                    <w:left w:val="none" w:sz="0" w:space="0" w:color="auto"/>
                    <w:bottom w:val="none" w:sz="0" w:space="0" w:color="auto"/>
                    <w:right w:val="none" w:sz="0" w:space="0" w:color="auto"/>
                  </w:divBdr>
                </w:div>
                <w:div w:id="1009480696">
                  <w:marLeft w:val="0"/>
                  <w:marRight w:val="0"/>
                  <w:marTop w:val="0"/>
                  <w:marBottom w:val="0"/>
                  <w:divBdr>
                    <w:top w:val="none" w:sz="0" w:space="0" w:color="auto"/>
                    <w:left w:val="none" w:sz="0" w:space="0" w:color="auto"/>
                    <w:bottom w:val="none" w:sz="0" w:space="0" w:color="auto"/>
                    <w:right w:val="none" w:sz="0" w:space="0" w:color="auto"/>
                  </w:divBdr>
                </w:div>
              </w:divsChild>
            </w:div>
            <w:div w:id="813063090">
              <w:marLeft w:val="300"/>
              <w:marRight w:val="300"/>
              <w:marTop w:val="300"/>
              <w:marBottom w:val="300"/>
              <w:divBdr>
                <w:top w:val="none" w:sz="0" w:space="0" w:color="auto"/>
                <w:left w:val="none" w:sz="0" w:space="0" w:color="auto"/>
                <w:bottom w:val="none" w:sz="0" w:space="0" w:color="auto"/>
                <w:right w:val="none" w:sz="0" w:space="0" w:color="auto"/>
              </w:divBdr>
              <w:divsChild>
                <w:div w:id="1211381808">
                  <w:marLeft w:val="0"/>
                  <w:marRight w:val="0"/>
                  <w:marTop w:val="0"/>
                  <w:marBottom w:val="0"/>
                  <w:divBdr>
                    <w:top w:val="none" w:sz="0" w:space="0" w:color="auto"/>
                    <w:left w:val="none" w:sz="0" w:space="0" w:color="auto"/>
                    <w:bottom w:val="none" w:sz="0" w:space="0" w:color="auto"/>
                    <w:right w:val="none" w:sz="0" w:space="0" w:color="auto"/>
                  </w:divBdr>
                </w:div>
                <w:div w:id="4320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1420">
          <w:marLeft w:val="0"/>
          <w:marRight w:val="0"/>
          <w:marTop w:val="0"/>
          <w:marBottom w:val="0"/>
          <w:divBdr>
            <w:top w:val="none" w:sz="0" w:space="0" w:color="auto"/>
            <w:left w:val="none" w:sz="0" w:space="0" w:color="auto"/>
            <w:bottom w:val="none" w:sz="0" w:space="0" w:color="auto"/>
            <w:right w:val="none" w:sz="0" w:space="0" w:color="auto"/>
          </w:divBdr>
        </w:div>
        <w:div w:id="1909920345">
          <w:marLeft w:val="0"/>
          <w:marRight w:val="0"/>
          <w:marTop w:val="0"/>
          <w:marBottom w:val="0"/>
          <w:divBdr>
            <w:top w:val="none" w:sz="0" w:space="0" w:color="auto"/>
            <w:left w:val="none" w:sz="0" w:space="0" w:color="auto"/>
            <w:bottom w:val="none" w:sz="0" w:space="0" w:color="auto"/>
            <w:right w:val="none" w:sz="0" w:space="0" w:color="auto"/>
          </w:divBdr>
          <w:divsChild>
            <w:div w:id="588151939">
              <w:marLeft w:val="0"/>
              <w:marRight w:val="0"/>
              <w:marTop w:val="0"/>
              <w:marBottom w:val="0"/>
              <w:divBdr>
                <w:top w:val="none" w:sz="0" w:space="0" w:color="auto"/>
                <w:left w:val="none" w:sz="0" w:space="0" w:color="auto"/>
                <w:bottom w:val="none" w:sz="0" w:space="0" w:color="auto"/>
                <w:right w:val="none" w:sz="0" w:space="0" w:color="auto"/>
              </w:divBdr>
            </w:div>
            <w:div w:id="1232933569">
              <w:marLeft w:val="0"/>
              <w:marRight w:val="0"/>
              <w:marTop w:val="0"/>
              <w:marBottom w:val="0"/>
              <w:divBdr>
                <w:top w:val="none" w:sz="0" w:space="0" w:color="auto"/>
                <w:left w:val="none" w:sz="0" w:space="0" w:color="auto"/>
                <w:bottom w:val="none" w:sz="0" w:space="0" w:color="auto"/>
                <w:right w:val="none" w:sz="0" w:space="0" w:color="auto"/>
              </w:divBdr>
              <w:divsChild>
                <w:div w:id="15840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intac-achizitii.ro/#afi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n.iordache73@yahoo.com</dc:creator>
  <cp:keywords/>
  <dc:description/>
  <cp:lastModifiedBy>n.iordache73@yahoo.com</cp:lastModifiedBy>
  <cp:revision>5</cp:revision>
  <cp:lastPrinted>2022-10-14T07:47:00Z</cp:lastPrinted>
  <dcterms:created xsi:type="dcterms:W3CDTF">2022-10-07T12:37:00Z</dcterms:created>
  <dcterms:modified xsi:type="dcterms:W3CDTF">2022-10-14T08:40:00Z</dcterms:modified>
</cp:coreProperties>
</file>